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宋体" w:eastAsia="黑体"/>
          <w:b/>
          <w:sz w:val="36"/>
          <w:szCs w:val="36"/>
        </w:rPr>
      </w:pPr>
      <w:bookmarkStart w:id="0" w:name="_Hlk88033623"/>
      <w:bookmarkEnd w:id="0"/>
    </w:p>
    <w:p>
      <w:pPr>
        <w:snapToGrid w:val="0"/>
        <w:jc w:val="center"/>
        <w:rPr>
          <w:rFonts w:ascii="黑体" w:hAnsi="宋体" w:eastAsia="黑体"/>
          <w:b/>
          <w:sz w:val="36"/>
          <w:szCs w:val="36"/>
        </w:rPr>
      </w:pPr>
    </w:p>
    <w:p>
      <w:pPr>
        <w:snapToGrid w:val="0"/>
        <w:jc w:val="center"/>
        <w:rPr>
          <w:rFonts w:ascii="黑体" w:hAnsi="宋体" w:eastAsia="黑体"/>
          <w:b/>
          <w:sz w:val="36"/>
          <w:szCs w:val="36"/>
        </w:rPr>
      </w:pPr>
    </w:p>
    <w:p>
      <w:pPr>
        <w:snapToGrid w:val="0"/>
        <w:rPr>
          <w:rFonts w:ascii="黑体" w:hAnsi="宋体" w:eastAsia="黑体"/>
          <w:b/>
          <w:sz w:val="36"/>
          <w:szCs w:val="36"/>
        </w:rPr>
      </w:pPr>
      <w:r>
        <w:rPr>
          <w:rFonts w:ascii="黑体" w:hAnsi="宋体" w:eastAsia="黑体"/>
          <w:b/>
          <w:sz w:val="36"/>
          <w:szCs w:val="36"/>
        </w:rPr>
        <w:drawing>
          <wp:inline distT="0" distB="0" distL="0" distR="0">
            <wp:extent cx="1133475" cy="1123950"/>
            <wp:effectExtent l="0" t="0" r="0" b="0"/>
            <wp:docPr id="6" name="图片 6" descr="C:\Users\Administrator\Desktop\新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新校徽.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46220" cy="1136709"/>
                    </a:xfrm>
                    <a:prstGeom prst="rect">
                      <a:avLst/>
                    </a:prstGeom>
                    <a:noFill/>
                    <a:ln>
                      <a:noFill/>
                    </a:ln>
                  </pic:spPr>
                </pic:pic>
              </a:graphicData>
            </a:graphic>
          </wp:inline>
        </w:drawing>
      </w:r>
      <w:r>
        <w:rPr>
          <w:rFonts w:ascii="黑体" w:hAnsi="宋体" w:eastAsia="黑体"/>
          <w:b/>
          <w:sz w:val="36"/>
          <w:szCs w:val="36"/>
        </w:rPr>
        <w:drawing>
          <wp:inline distT="0" distB="0" distL="0" distR="0">
            <wp:extent cx="4038600" cy="11544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50085" cy="1157896"/>
                    </a:xfrm>
                    <a:prstGeom prst="rect">
                      <a:avLst/>
                    </a:prstGeom>
                    <a:noFill/>
                  </pic:spPr>
                </pic:pic>
              </a:graphicData>
            </a:graphic>
          </wp:inline>
        </w:drawing>
      </w:r>
    </w:p>
    <w:p>
      <w:pPr>
        <w:snapToGrid w:val="0"/>
        <w:jc w:val="left"/>
        <w:rPr>
          <w:rFonts w:ascii="黑体" w:hAnsi="宋体" w:eastAsia="黑体"/>
          <w:b/>
          <w:sz w:val="36"/>
          <w:szCs w:val="36"/>
        </w:rPr>
      </w:pPr>
    </w:p>
    <w:p>
      <w:pPr>
        <w:snapToGrid w:val="0"/>
        <w:rPr>
          <w:rFonts w:ascii="黑体" w:hAnsi="宋体" w:eastAsia="黑体"/>
          <w:b/>
          <w:sz w:val="36"/>
          <w:szCs w:val="36"/>
        </w:rPr>
      </w:pPr>
    </w:p>
    <w:p>
      <w:pPr>
        <w:snapToGrid w:val="0"/>
        <w:rPr>
          <w:rFonts w:ascii="黑体" w:hAnsi="宋体" w:eastAsia="黑体"/>
          <w:b/>
          <w:sz w:val="36"/>
          <w:szCs w:val="36"/>
        </w:rPr>
      </w:pPr>
    </w:p>
    <w:p>
      <w:pPr>
        <w:snapToGrid w:val="0"/>
        <w:jc w:val="center"/>
        <w:rPr>
          <w:rFonts w:ascii="黑体" w:hAnsi="宋体" w:eastAsia="黑体"/>
          <w:b/>
          <w:sz w:val="36"/>
          <w:szCs w:val="36"/>
        </w:rPr>
      </w:pPr>
    </w:p>
    <w:p>
      <w:pPr>
        <w:snapToGrid w:val="0"/>
        <w:jc w:val="center"/>
        <w:rPr>
          <w:rFonts w:ascii="黑体" w:hAnsi="宋体" w:eastAsia="黑体"/>
          <w:b/>
          <w:sz w:val="36"/>
          <w:szCs w:val="36"/>
        </w:rPr>
      </w:pPr>
    </w:p>
    <w:p>
      <w:pPr>
        <w:snapToGrid w:val="0"/>
        <w:jc w:val="center"/>
        <w:rPr>
          <w:rFonts w:ascii="黑体" w:hAnsi="宋体" w:eastAsia="黑体"/>
          <w:b/>
          <w:sz w:val="36"/>
          <w:szCs w:val="36"/>
        </w:rPr>
      </w:pPr>
      <w:r>
        <w:rPr>
          <w:rFonts w:hint="eastAsia" w:ascii="黑体" w:hAnsi="宋体" w:eastAsia="黑体"/>
          <w:b/>
          <w:sz w:val="36"/>
          <w:szCs w:val="36"/>
        </w:rPr>
        <w:drawing>
          <wp:inline distT="0" distB="0" distL="0" distR="0">
            <wp:extent cx="5391150" cy="2197100"/>
            <wp:effectExtent l="19050" t="0" r="0" b="0"/>
            <wp:docPr id="3" name="图片 2" descr="QQ图片2019090913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190909132229"/>
                    <pic:cNvPicPr>
                      <a:picLocks noChangeAspect="1" noChangeArrowheads="1"/>
                    </pic:cNvPicPr>
                  </pic:nvPicPr>
                  <pic:blipFill>
                    <a:blip r:embed="rId12"/>
                    <a:srcRect/>
                    <a:stretch>
                      <a:fillRect/>
                    </a:stretch>
                  </pic:blipFill>
                  <pic:spPr>
                    <a:xfrm>
                      <a:off x="0" y="0"/>
                      <a:ext cx="5391150" cy="2197100"/>
                    </a:xfrm>
                    <a:prstGeom prst="rect">
                      <a:avLst/>
                    </a:prstGeom>
                    <a:noFill/>
                    <a:ln w="9525">
                      <a:noFill/>
                      <a:miter lim="800000"/>
                      <a:headEnd/>
                      <a:tailEnd/>
                    </a:ln>
                    <a:effectLst/>
                  </pic:spPr>
                </pic:pic>
              </a:graphicData>
            </a:graphic>
          </wp:inline>
        </w:drawing>
      </w:r>
    </w:p>
    <w:p>
      <w:pPr>
        <w:snapToGrid w:val="0"/>
        <w:rPr>
          <w:rFonts w:ascii="黑体" w:hAnsi="宋体" w:eastAsia="黑体"/>
          <w:b/>
          <w:sz w:val="36"/>
          <w:szCs w:val="36"/>
        </w:rPr>
      </w:pPr>
    </w:p>
    <w:p>
      <w:pPr>
        <w:snapToGrid w:val="0"/>
        <w:spacing w:after="156" w:afterLines="50"/>
        <w:jc w:val="center"/>
        <w:rPr>
          <w:rFonts w:ascii="黑体" w:hAnsi="宋体" w:eastAsia="黑体"/>
          <w:b/>
          <w:sz w:val="36"/>
          <w:szCs w:val="36"/>
        </w:rPr>
      </w:pPr>
    </w:p>
    <w:p>
      <w:pPr>
        <w:snapToGrid w:val="0"/>
        <w:spacing w:after="156" w:afterLines="50"/>
        <w:jc w:val="center"/>
        <w:rPr>
          <w:rFonts w:ascii="黑体" w:hAnsi="宋体" w:eastAsia="黑体"/>
          <w:b/>
          <w:sz w:val="36"/>
          <w:szCs w:val="36"/>
        </w:rPr>
      </w:pPr>
      <w:r>
        <w:rPr>
          <w:rFonts w:hint="eastAsia" w:ascii="黑体" w:hAnsi="宋体" w:eastAsia="黑体"/>
          <w:b/>
          <w:sz w:val="36"/>
          <w:szCs w:val="36"/>
        </w:rPr>
        <w:t>2021-20</w:t>
      </w:r>
      <w:r>
        <w:rPr>
          <w:rFonts w:ascii="黑体" w:hAnsi="宋体" w:eastAsia="黑体"/>
          <w:b/>
          <w:sz w:val="36"/>
          <w:szCs w:val="36"/>
        </w:rPr>
        <w:t>2</w:t>
      </w:r>
      <w:r>
        <w:rPr>
          <w:rFonts w:hint="eastAsia" w:ascii="黑体" w:hAnsi="宋体" w:eastAsia="黑体"/>
          <w:b/>
          <w:sz w:val="36"/>
          <w:szCs w:val="36"/>
        </w:rPr>
        <w:t>2学年本科教学质量报告</w:t>
      </w:r>
    </w:p>
    <w:p>
      <w:pPr>
        <w:snapToGrid w:val="0"/>
        <w:rPr>
          <w:rFonts w:ascii="黑体" w:hAnsi="宋体" w:eastAsia="黑体"/>
          <w:b/>
          <w:sz w:val="36"/>
          <w:szCs w:val="36"/>
        </w:rPr>
      </w:pPr>
    </w:p>
    <w:p>
      <w:pPr>
        <w:snapToGrid w:val="0"/>
        <w:jc w:val="center"/>
        <w:rPr>
          <w:rFonts w:ascii="黑体" w:hAnsi="宋体" w:eastAsia="黑体"/>
          <w:b/>
          <w:sz w:val="36"/>
          <w:szCs w:val="36"/>
        </w:rPr>
      </w:pPr>
    </w:p>
    <w:p>
      <w:pPr>
        <w:widowControl/>
        <w:jc w:val="center"/>
        <w:rPr>
          <w:rFonts w:ascii="宋体" w:hAnsi="宋体" w:cs="宋体"/>
          <w:b/>
          <w:kern w:val="0"/>
          <w:sz w:val="36"/>
          <w:szCs w:val="36"/>
        </w:rPr>
      </w:pPr>
    </w:p>
    <w:p>
      <w:pPr>
        <w:widowControl/>
        <w:jc w:val="center"/>
        <w:rPr>
          <w:sz w:val="36"/>
          <w:szCs w:val="36"/>
        </w:rPr>
      </w:pPr>
      <w:r>
        <w:rPr>
          <w:rFonts w:hint="eastAsia" w:ascii="宋体" w:hAnsi="宋体" w:cs="宋体"/>
          <w:b/>
          <w:kern w:val="0"/>
          <w:sz w:val="36"/>
          <w:szCs w:val="36"/>
        </w:rPr>
        <w:t>二〇二二年十一月</w:t>
      </w:r>
    </w:p>
    <w:p>
      <w:pPr>
        <w:snapToGrid w:val="0"/>
        <w:jc w:val="center"/>
        <w:rPr>
          <w:rFonts w:ascii="黑体" w:hAnsi="宋体" w:eastAsia="黑体"/>
          <w:b/>
          <w:sz w:val="36"/>
          <w:szCs w:val="36"/>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pStyle w:val="56"/>
        <w:jc w:val="center"/>
        <w:rPr>
          <w:color w:val="auto"/>
          <w:highlight w:val="yellow"/>
        </w:rPr>
      </w:pPr>
      <w:r>
        <w:rPr>
          <w:color w:val="auto"/>
          <w:lang w:val="zh-CN"/>
        </w:rPr>
        <w:t>目录</w:t>
      </w:r>
    </w:p>
    <w:p>
      <w:pPr>
        <w:pStyle w:val="11"/>
        <w:tabs>
          <w:tab w:val="right" w:leader="dot" w:pos="8306"/>
        </w:tabs>
      </w:pPr>
      <w:r>
        <w:fldChar w:fldCharType="begin"/>
      </w:r>
      <w:r>
        <w:instrText xml:space="preserve"> TOC \o "1-3" \h \z \u </w:instrText>
      </w:r>
      <w:r>
        <w:fldChar w:fldCharType="separate"/>
      </w:r>
      <w:r>
        <w:fldChar w:fldCharType="begin"/>
      </w:r>
      <w:r>
        <w:instrText xml:space="preserve"> HYPERLINK \l "_Toc31824" </w:instrText>
      </w:r>
      <w:r>
        <w:fldChar w:fldCharType="separate"/>
      </w:r>
      <w:r>
        <w:rPr>
          <w:rFonts w:hint="eastAsia" w:ascii="黑体" w:hAnsi="黑体" w:eastAsia="黑体" w:cs="黑体"/>
          <w:bCs/>
          <w:szCs w:val="30"/>
        </w:rPr>
        <w:t>一、学校年度发展概况</w:t>
      </w:r>
      <w:r>
        <w:tab/>
      </w:r>
      <w:r>
        <w:fldChar w:fldCharType="begin"/>
      </w:r>
      <w:r>
        <w:instrText xml:space="preserve"> PAGEREF _Toc31824 \h </w:instrText>
      </w:r>
      <w:r>
        <w:fldChar w:fldCharType="separate"/>
      </w:r>
      <w:r>
        <w:t>1</w:t>
      </w:r>
      <w:r>
        <w:fldChar w:fldCharType="end"/>
      </w:r>
      <w:r>
        <w:fldChar w:fldCharType="end"/>
      </w:r>
    </w:p>
    <w:p>
      <w:pPr>
        <w:pStyle w:val="12"/>
        <w:tabs>
          <w:tab w:val="right" w:leader="dot" w:pos="8306"/>
        </w:tabs>
      </w:pPr>
      <w:r>
        <w:fldChar w:fldCharType="begin"/>
      </w:r>
      <w:r>
        <w:instrText xml:space="preserve"> HYPERLINK \l "_Toc28186" </w:instrText>
      </w:r>
      <w:r>
        <w:fldChar w:fldCharType="separate"/>
      </w:r>
      <w:r>
        <w:rPr>
          <w:rFonts w:hint="eastAsia"/>
          <w:bCs/>
          <w:szCs w:val="28"/>
        </w:rPr>
        <w:t>（一）党的领导不断加强</w:t>
      </w:r>
      <w:r>
        <w:tab/>
      </w:r>
      <w:r>
        <w:rPr>
          <w:rFonts w:hint="eastAsia"/>
        </w:rPr>
        <w:t>1</w:t>
      </w:r>
      <w:r>
        <w:rPr>
          <w:rFonts w:hint="eastAsia"/>
        </w:rPr>
        <w:fldChar w:fldCharType="end"/>
      </w:r>
    </w:p>
    <w:p>
      <w:pPr>
        <w:pStyle w:val="12"/>
        <w:tabs>
          <w:tab w:val="right" w:leader="dot" w:pos="8306"/>
        </w:tabs>
      </w:pPr>
      <w:r>
        <w:fldChar w:fldCharType="begin"/>
      </w:r>
      <w:r>
        <w:instrText xml:space="preserve"> HYPERLINK \l "_Toc2040" </w:instrText>
      </w:r>
      <w:r>
        <w:fldChar w:fldCharType="separate"/>
      </w:r>
      <w:r>
        <w:rPr>
          <w:rFonts w:hint="eastAsia"/>
          <w:bCs/>
          <w:szCs w:val="28"/>
        </w:rPr>
        <w:t>（二）校内“双一流”建设取得突破性成果</w:t>
      </w:r>
      <w:r>
        <w:tab/>
      </w:r>
      <w:r>
        <w:rPr>
          <w:rFonts w:hint="eastAsia"/>
        </w:rPr>
        <w:t>1</w:t>
      </w:r>
      <w:r>
        <w:rPr>
          <w:rFonts w:hint="eastAsia"/>
        </w:rPr>
        <w:fldChar w:fldCharType="end"/>
      </w:r>
    </w:p>
    <w:p>
      <w:pPr>
        <w:pStyle w:val="12"/>
        <w:tabs>
          <w:tab w:val="right" w:leader="dot" w:pos="8306"/>
        </w:tabs>
      </w:pPr>
      <w:r>
        <w:fldChar w:fldCharType="begin"/>
      </w:r>
      <w:r>
        <w:instrText xml:space="preserve"> HYPERLINK \l "_Toc24281" </w:instrText>
      </w:r>
      <w:r>
        <w:fldChar w:fldCharType="separate"/>
      </w:r>
      <w:r>
        <w:rPr>
          <w:rFonts w:hint="eastAsia"/>
          <w:bCs/>
          <w:szCs w:val="28"/>
        </w:rPr>
        <w:t>（三）科研工作取得新突破</w:t>
      </w:r>
      <w:r>
        <w:tab/>
      </w:r>
      <w:r>
        <w:rPr>
          <w:rFonts w:hint="eastAsia"/>
        </w:rPr>
        <w:t>1</w:t>
      </w:r>
      <w:r>
        <w:rPr>
          <w:rFonts w:hint="eastAsia"/>
        </w:rPr>
        <w:fldChar w:fldCharType="end"/>
      </w:r>
    </w:p>
    <w:p>
      <w:pPr>
        <w:pStyle w:val="12"/>
        <w:tabs>
          <w:tab w:val="right" w:leader="dot" w:pos="8306"/>
        </w:tabs>
      </w:pPr>
      <w:r>
        <w:fldChar w:fldCharType="begin"/>
      </w:r>
      <w:r>
        <w:instrText xml:space="preserve"> HYPERLINK \l "_Toc16205" </w:instrText>
      </w:r>
      <w:r>
        <w:fldChar w:fldCharType="separate"/>
      </w:r>
      <w:r>
        <w:rPr>
          <w:rFonts w:hint="eastAsia"/>
          <w:bCs/>
          <w:szCs w:val="28"/>
        </w:rPr>
        <w:t>（四）1+X证书工作成效显著</w:t>
      </w:r>
      <w:r>
        <w:tab/>
      </w:r>
      <w:r>
        <w:rPr>
          <w:rFonts w:hint="eastAsia"/>
        </w:rPr>
        <w:t>2</w:t>
      </w:r>
      <w:r>
        <w:rPr>
          <w:rFonts w:hint="eastAsia"/>
        </w:rPr>
        <w:fldChar w:fldCharType="end"/>
      </w:r>
    </w:p>
    <w:p>
      <w:pPr>
        <w:pStyle w:val="12"/>
        <w:tabs>
          <w:tab w:val="right" w:leader="dot" w:pos="8306"/>
        </w:tabs>
      </w:pPr>
      <w:r>
        <w:fldChar w:fldCharType="begin"/>
      </w:r>
      <w:r>
        <w:instrText xml:space="preserve"> HYPERLINK \l "_Toc22090" </w:instrText>
      </w:r>
      <w:r>
        <w:fldChar w:fldCharType="separate"/>
      </w:r>
      <w:r>
        <w:rPr>
          <w:rFonts w:hint="eastAsia"/>
          <w:bCs/>
          <w:szCs w:val="28"/>
        </w:rPr>
        <w:t>（五）人才培养质量不断提高</w:t>
      </w:r>
      <w:r>
        <w:tab/>
      </w:r>
      <w:r>
        <w:rPr>
          <w:rFonts w:hint="eastAsia"/>
        </w:rPr>
        <w:t>2</w:t>
      </w:r>
      <w:r>
        <w:rPr>
          <w:rFonts w:hint="eastAsia"/>
        </w:rPr>
        <w:fldChar w:fldCharType="end"/>
      </w:r>
    </w:p>
    <w:p>
      <w:pPr>
        <w:pStyle w:val="12"/>
        <w:tabs>
          <w:tab w:val="right" w:leader="dot" w:pos="8306"/>
        </w:tabs>
      </w:pPr>
      <w:r>
        <w:fldChar w:fldCharType="begin"/>
      </w:r>
      <w:r>
        <w:instrText xml:space="preserve"> HYPERLINK \l "_Toc10540" </w:instrText>
      </w:r>
      <w:r>
        <w:fldChar w:fldCharType="separate"/>
      </w:r>
      <w:r>
        <w:rPr>
          <w:rFonts w:hint="eastAsia"/>
          <w:bCs/>
          <w:szCs w:val="28"/>
        </w:rPr>
        <w:t>（六）师资队伍结构不断优化</w:t>
      </w:r>
      <w:r>
        <w:tab/>
      </w:r>
      <w:r>
        <w:rPr>
          <w:rFonts w:hint="eastAsia"/>
        </w:rPr>
        <w:t>2</w:t>
      </w:r>
      <w:r>
        <w:rPr>
          <w:rFonts w:hint="eastAsia"/>
        </w:rPr>
        <w:fldChar w:fldCharType="end"/>
      </w:r>
    </w:p>
    <w:p>
      <w:pPr>
        <w:pStyle w:val="11"/>
        <w:tabs>
          <w:tab w:val="right" w:leader="dot" w:pos="8306"/>
        </w:tabs>
      </w:pPr>
      <w:r>
        <w:fldChar w:fldCharType="begin"/>
      </w:r>
      <w:r>
        <w:instrText xml:space="preserve"> HYPERLINK \l "_Toc27031" </w:instrText>
      </w:r>
      <w:r>
        <w:fldChar w:fldCharType="separate"/>
      </w:r>
      <w:r>
        <w:rPr>
          <w:rFonts w:hint="eastAsia" w:ascii="黑体" w:hAnsi="黑体" w:eastAsia="黑体" w:cs="黑体"/>
          <w:bCs/>
          <w:szCs w:val="30"/>
        </w:rPr>
        <w:t>二、本科教育基本情况</w:t>
      </w:r>
      <w:r>
        <w:tab/>
      </w:r>
      <w:r>
        <w:fldChar w:fldCharType="begin"/>
      </w:r>
      <w:r>
        <w:instrText xml:space="preserve"> PAGEREF _Toc27031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"_Toc28186" </w:instrText>
      </w:r>
      <w:r>
        <w:fldChar w:fldCharType="separate"/>
      </w:r>
      <w:r>
        <w:rPr>
          <w:rFonts w:hint="eastAsia"/>
          <w:bCs/>
          <w:szCs w:val="28"/>
        </w:rPr>
        <w:t>（一）人才培养目标及服务面向</w:t>
      </w:r>
      <w:r>
        <w:tab/>
      </w:r>
      <w:r>
        <w:fldChar w:fldCharType="begin"/>
      </w:r>
      <w:r>
        <w:instrText xml:space="preserve"> PAGEREF _Toc28186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"_Toc2040" </w:instrText>
      </w:r>
      <w:r>
        <w:fldChar w:fldCharType="separate"/>
      </w:r>
      <w:r>
        <w:rPr>
          <w:rFonts w:hint="eastAsia"/>
          <w:bCs/>
          <w:szCs w:val="28"/>
        </w:rPr>
        <w:t>（二）本科专业设置情况</w:t>
      </w:r>
      <w:r>
        <w:tab/>
      </w:r>
      <w:r>
        <w:fldChar w:fldCharType="begin"/>
      </w:r>
      <w:r>
        <w:instrText xml:space="preserve"> PAGEREF _Toc2040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"_Toc24281" </w:instrText>
      </w:r>
      <w:r>
        <w:fldChar w:fldCharType="separate"/>
      </w:r>
      <w:r>
        <w:rPr>
          <w:rFonts w:hint="eastAsia"/>
          <w:bCs/>
          <w:szCs w:val="28"/>
        </w:rPr>
        <w:t>（三）在校生情况及生源质量</w:t>
      </w:r>
      <w:r>
        <w:tab/>
      </w:r>
      <w:r>
        <w:rPr>
          <w:rFonts w:hint="eastAsia"/>
        </w:rPr>
        <w:t>4</w:t>
      </w:r>
      <w:r>
        <w:rPr>
          <w:rFonts w:hint="eastAsia"/>
        </w:rPr>
        <w:fldChar w:fldCharType="end"/>
      </w:r>
    </w:p>
    <w:p>
      <w:pPr>
        <w:pStyle w:val="11"/>
        <w:tabs>
          <w:tab w:val="right" w:leader="dot" w:pos="8306"/>
        </w:tabs>
      </w:pPr>
      <w:r>
        <w:fldChar w:fldCharType="begin"/>
      </w:r>
      <w:r>
        <w:instrText xml:space="preserve"> HYPERLINK \l "_Toc23732" </w:instrText>
      </w:r>
      <w:r>
        <w:fldChar w:fldCharType="separate"/>
      </w:r>
      <w:r>
        <w:rPr>
          <w:rFonts w:hint="eastAsia" w:ascii="黑体" w:hAnsi="黑体" w:eastAsia="黑体" w:cs="黑体"/>
          <w:bCs/>
          <w:szCs w:val="30"/>
        </w:rPr>
        <w:t>三、师资与教学条件</w:t>
      </w:r>
      <w:r>
        <w:tab/>
      </w:r>
      <w:r>
        <w:fldChar w:fldCharType="begin"/>
      </w:r>
      <w:r>
        <w:instrText xml:space="preserve"> PAGEREF _Toc23732 \h </w:instrText>
      </w:r>
      <w:r>
        <w:fldChar w:fldCharType="separate"/>
      </w:r>
      <w:r>
        <w:t>5</w:t>
      </w:r>
      <w:r>
        <w:fldChar w:fldCharType="end"/>
      </w:r>
      <w:r>
        <w:fldChar w:fldCharType="end"/>
      </w:r>
    </w:p>
    <w:p>
      <w:pPr>
        <w:pStyle w:val="12"/>
        <w:tabs>
          <w:tab w:val="right" w:leader="dot" w:pos="8306"/>
        </w:tabs>
      </w:pPr>
      <w:r>
        <w:fldChar w:fldCharType="begin"/>
      </w:r>
      <w:r>
        <w:instrText xml:space="preserve"> HYPERLINK \l "_Toc19416" </w:instrText>
      </w:r>
      <w:r>
        <w:fldChar w:fldCharType="separate"/>
      </w:r>
      <w:r>
        <w:rPr>
          <w:rFonts w:hint="eastAsia"/>
          <w:bCs/>
          <w:szCs w:val="28"/>
        </w:rPr>
        <w:t>（一）数量与结构</w:t>
      </w:r>
      <w:r>
        <w:tab/>
      </w:r>
      <w:r>
        <w:fldChar w:fldCharType="begin"/>
      </w:r>
      <w:r>
        <w:instrText xml:space="preserve"> PAGEREF _Toc19416 \h </w:instrText>
      </w:r>
      <w:r>
        <w:fldChar w:fldCharType="separate"/>
      </w:r>
      <w:r>
        <w:t>5</w:t>
      </w:r>
      <w:r>
        <w:fldChar w:fldCharType="end"/>
      </w:r>
      <w:r>
        <w:fldChar w:fldCharType="end"/>
      </w:r>
    </w:p>
    <w:p>
      <w:pPr>
        <w:pStyle w:val="12"/>
        <w:tabs>
          <w:tab w:val="right" w:leader="dot" w:pos="8306"/>
        </w:tabs>
      </w:pPr>
      <w:r>
        <w:fldChar w:fldCharType="begin"/>
      </w:r>
      <w:r>
        <w:instrText xml:space="preserve"> HYPERLINK \l "_Toc13245" </w:instrText>
      </w:r>
      <w:r>
        <w:fldChar w:fldCharType="separate"/>
      </w:r>
      <w:r>
        <w:rPr>
          <w:rFonts w:hint="eastAsia"/>
          <w:bCs/>
          <w:szCs w:val="28"/>
        </w:rPr>
        <w:t>（二）教师培训与发展情况</w:t>
      </w:r>
      <w:r>
        <w:tab/>
      </w:r>
      <w:r>
        <w:fldChar w:fldCharType="begin"/>
      </w:r>
      <w:r>
        <w:instrText xml:space="preserve"> PAGEREF _Toc13245 \h </w:instrText>
      </w:r>
      <w:r>
        <w:fldChar w:fldCharType="separate"/>
      </w:r>
      <w:r>
        <w:t>6</w:t>
      </w:r>
      <w:r>
        <w:fldChar w:fldCharType="end"/>
      </w:r>
      <w:r>
        <w:fldChar w:fldCharType="end"/>
      </w:r>
    </w:p>
    <w:p>
      <w:pPr>
        <w:pStyle w:val="12"/>
        <w:tabs>
          <w:tab w:val="right" w:leader="dot" w:pos="8306"/>
        </w:tabs>
      </w:pPr>
      <w:r>
        <w:fldChar w:fldCharType="begin"/>
      </w:r>
      <w:r>
        <w:instrText xml:space="preserve"> HYPERLINK \l "_Toc19916" </w:instrText>
      </w:r>
      <w:r>
        <w:fldChar w:fldCharType="separate"/>
      </w:r>
      <w:r>
        <w:rPr>
          <w:rFonts w:hint="eastAsia"/>
          <w:bCs/>
          <w:szCs w:val="28"/>
        </w:rPr>
        <w:t>（三）教学经费投入</w:t>
      </w:r>
      <w:r>
        <w:tab/>
      </w:r>
      <w:r>
        <w:rPr>
          <w:rFonts w:hint="eastAsia"/>
        </w:rPr>
        <w:t>6</w:t>
      </w:r>
      <w:r>
        <w:rPr>
          <w:rFonts w:hint="eastAsia"/>
        </w:rPr>
        <w:fldChar w:fldCharType="end"/>
      </w:r>
    </w:p>
    <w:p>
      <w:pPr>
        <w:pStyle w:val="12"/>
        <w:tabs>
          <w:tab w:val="right" w:leader="dot" w:pos="8306"/>
        </w:tabs>
      </w:pPr>
      <w:r>
        <w:fldChar w:fldCharType="begin"/>
      </w:r>
      <w:r>
        <w:instrText xml:space="preserve"> HYPERLINK \l "_Toc30037" </w:instrText>
      </w:r>
      <w:r>
        <w:fldChar w:fldCharType="separate"/>
      </w:r>
      <w:r>
        <w:rPr>
          <w:rFonts w:hint="eastAsia"/>
          <w:bCs/>
          <w:szCs w:val="28"/>
        </w:rPr>
        <w:t>（四）基础设施</w:t>
      </w:r>
      <w:r>
        <w:tab/>
      </w:r>
      <w:r>
        <w:rPr>
          <w:rFonts w:hint="eastAsia"/>
        </w:rPr>
        <w:t>6</w:t>
      </w:r>
      <w:r>
        <w:rPr>
          <w:rFonts w:hint="eastAsia"/>
        </w:rPr>
        <w:fldChar w:fldCharType="end"/>
      </w:r>
    </w:p>
    <w:p>
      <w:pPr>
        <w:pStyle w:val="12"/>
        <w:tabs>
          <w:tab w:val="right" w:leader="dot" w:pos="8306"/>
        </w:tabs>
      </w:pPr>
      <w:r>
        <w:fldChar w:fldCharType="begin"/>
      </w:r>
      <w:r>
        <w:instrText xml:space="preserve"> HYPERLINK \l "_Toc7368" </w:instrText>
      </w:r>
      <w:r>
        <w:fldChar w:fldCharType="separate"/>
      </w:r>
      <w:r>
        <w:rPr>
          <w:rFonts w:hint="eastAsia"/>
          <w:bCs/>
          <w:szCs w:val="28"/>
        </w:rPr>
        <w:t>（五）仪器设备</w:t>
      </w:r>
      <w:r>
        <w:tab/>
      </w:r>
      <w:r>
        <w:fldChar w:fldCharType="begin"/>
      </w:r>
      <w:r>
        <w:instrText xml:space="preserve"> PAGEREF _Toc7368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"_Toc3767" </w:instrText>
      </w:r>
      <w:r>
        <w:fldChar w:fldCharType="separate"/>
      </w:r>
      <w:r>
        <w:rPr>
          <w:rFonts w:hint="eastAsia"/>
          <w:bCs/>
          <w:szCs w:val="28"/>
        </w:rPr>
        <w:t>（六）图书与信息资源</w:t>
      </w:r>
      <w:r>
        <w:tab/>
      </w:r>
      <w:r>
        <w:fldChar w:fldCharType="begin"/>
      </w:r>
      <w:r>
        <w:instrText xml:space="preserve"> PAGEREF _Toc3767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"_Toc30920" </w:instrText>
      </w:r>
      <w:r>
        <w:fldChar w:fldCharType="separate"/>
      </w:r>
      <w:r>
        <w:rPr>
          <w:rFonts w:hint="eastAsia" w:ascii="黑体" w:hAnsi="黑体" w:eastAsia="黑体" w:cs="黑体"/>
          <w:bCs/>
          <w:szCs w:val="30"/>
        </w:rPr>
        <w:t>四、教学建设与改革</w:t>
      </w:r>
      <w:r>
        <w:tab/>
      </w:r>
      <w:r>
        <w:rPr>
          <w:rFonts w:hint="eastAsia"/>
        </w:rPr>
        <w:t>7</w:t>
      </w:r>
      <w:r>
        <w:rPr>
          <w:rFonts w:hint="eastAsia"/>
        </w:rPr>
        <w:fldChar w:fldCharType="end"/>
      </w:r>
    </w:p>
    <w:p>
      <w:pPr>
        <w:pStyle w:val="12"/>
        <w:tabs>
          <w:tab w:val="right" w:leader="dot" w:pos="8306"/>
        </w:tabs>
      </w:pPr>
      <w:r>
        <w:fldChar w:fldCharType="begin"/>
      </w:r>
      <w:r>
        <w:instrText xml:space="preserve"> HYPERLINK \l "_Toc20718" </w:instrText>
      </w:r>
      <w:r>
        <w:fldChar w:fldCharType="separate"/>
      </w:r>
      <w:r>
        <w:rPr>
          <w:rFonts w:hint="eastAsia"/>
          <w:bCs/>
          <w:szCs w:val="28"/>
        </w:rPr>
        <w:t>（一）专业建设</w:t>
      </w:r>
      <w:r>
        <w:tab/>
      </w:r>
      <w:r>
        <w:fldChar w:fldCharType="end"/>
      </w:r>
      <w:r>
        <w:rPr>
          <w:rFonts w:hint="eastAsia"/>
        </w:rPr>
        <w:t>7</w:t>
      </w:r>
    </w:p>
    <w:p>
      <w:pPr>
        <w:pStyle w:val="12"/>
        <w:tabs>
          <w:tab w:val="right" w:leader="dot" w:pos="8306"/>
        </w:tabs>
      </w:pPr>
      <w:r>
        <w:fldChar w:fldCharType="begin"/>
      </w:r>
      <w:r>
        <w:instrText xml:space="preserve"> HYPERLINK \l "_Toc17311" </w:instrText>
      </w:r>
      <w:r>
        <w:fldChar w:fldCharType="separate"/>
      </w:r>
      <w:r>
        <w:rPr>
          <w:rFonts w:hint="eastAsia"/>
          <w:bCs/>
          <w:szCs w:val="28"/>
        </w:rPr>
        <w:t>（二）课程建设</w:t>
      </w:r>
      <w:r>
        <w:tab/>
      </w:r>
      <w:r>
        <w:fldChar w:fldCharType="begin"/>
      </w:r>
      <w:r>
        <w:instrText xml:space="preserve"> PAGEREF _Toc17311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"_Toc32659" </w:instrText>
      </w:r>
      <w:r>
        <w:fldChar w:fldCharType="separate"/>
      </w:r>
      <w:r>
        <w:rPr>
          <w:rFonts w:hint="eastAsia"/>
          <w:bCs/>
          <w:szCs w:val="28"/>
        </w:rPr>
        <w:t>（三）教材建设</w:t>
      </w:r>
      <w:r>
        <w:tab/>
      </w:r>
      <w:r>
        <w:fldChar w:fldCharType="begin"/>
      </w:r>
      <w:r>
        <w:instrText xml:space="preserve"> PAGEREF _Toc32659 \h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"_Toc16205" </w:instrText>
      </w:r>
      <w:r>
        <w:fldChar w:fldCharType="separate"/>
      </w:r>
      <w:r>
        <w:rPr>
          <w:rFonts w:hint="eastAsia"/>
          <w:bCs/>
          <w:szCs w:val="28"/>
        </w:rPr>
        <w:t>（四）教学改革与研究</w:t>
      </w:r>
      <w:r>
        <w:tab/>
      </w:r>
      <w:r>
        <w:fldChar w:fldCharType="begin"/>
      </w:r>
      <w:r>
        <w:instrText xml:space="preserve"> PAGEREF _Toc16205 \h </w:instrText>
      </w:r>
      <w:r>
        <w:fldChar w:fldCharType="separate"/>
      </w:r>
      <w:r>
        <w:t>11</w:t>
      </w:r>
      <w:r>
        <w:fldChar w:fldCharType="end"/>
      </w:r>
      <w:r>
        <w:fldChar w:fldCharType="end"/>
      </w:r>
    </w:p>
    <w:p>
      <w:pPr>
        <w:pStyle w:val="12"/>
        <w:tabs>
          <w:tab w:val="right" w:leader="dot" w:pos="8306"/>
        </w:tabs>
      </w:pPr>
      <w:r>
        <w:fldChar w:fldCharType="begin"/>
      </w:r>
      <w:r>
        <w:instrText xml:space="preserve"> HYPERLINK \l "_Toc22090" </w:instrText>
      </w:r>
      <w:r>
        <w:fldChar w:fldCharType="separate"/>
      </w:r>
      <w:r>
        <w:rPr>
          <w:rFonts w:hint="eastAsia"/>
          <w:bCs/>
          <w:szCs w:val="28"/>
        </w:rPr>
        <w:t>（五）实践教学</w:t>
      </w:r>
      <w:r>
        <w:tab/>
      </w:r>
      <w:r>
        <w:fldChar w:fldCharType="begin"/>
      </w:r>
      <w:r>
        <w:instrText xml:space="preserve"> PAGEREF _Toc22090 \h </w:instrText>
      </w:r>
      <w:r>
        <w:fldChar w:fldCharType="separate"/>
      </w:r>
      <w:r>
        <w:t>11</w:t>
      </w:r>
      <w:r>
        <w:fldChar w:fldCharType="end"/>
      </w:r>
      <w:r>
        <w:fldChar w:fldCharType="end"/>
      </w:r>
    </w:p>
    <w:p>
      <w:pPr>
        <w:pStyle w:val="12"/>
        <w:tabs>
          <w:tab w:val="right" w:leader="dot" w:pos="8306"/>
        </w:tabs>
      </w:pPr>
      <w:r>
        <w:fldChar w:fldCharType="begin"/>
      </w:r>
      <w:r>
        <w:instrText xml:space="preserve"> HYPERLINK \l "_Toc15366" </w:instrText>
      </w:r>
      <w:r>
        <w:fldChar w:fldCharType="separate"/>
      </w:r>
      <w:r>
        <w:rPr>
          <w:rFonts w:hint="eastAsia"/>
          <w:bCs/>
          <w:szCs w:val="28"/>
        </w:rPr>
        <w:t>（六）毕业论文（设计）</w:t>
      </w:r>
      <w:r>
        <w:tab/>
      </w:r>
      <w:r>
        <w:fldChar w:fldCharType="begin"/>
      </w:r>
      <w:r>
        <w:instrText xml:space="preserve"> PAGEREF _Toc15366 \h </w:instrText>
      </w:r>
      <w:r>
        <w:fldChar w:fldCharType="separate"/>
      </w:r>
      <w:r>
        <w:t>12</w:t>
      </w:r>
      <w:r>
        <w:fldChar w:fldCharType="end"/>
      </w:r>
      <w:r>
        <w:fldChar w:fldCharType="end"/>
      </w:r>
    </w:p>
    <w:p>
      <w:pPr>
        <w:pStyle w:val="12"/>
        <w:tabs>
          <w:tab w:val="right" w:leader="dot" w:pos="8306"/>
        </w:tabs>
      </w:pPr>
      <w:r>
        <w:fldChar w:fldCharType="begin"/>
      </w:r>
      <w:r>
        <w:instrText xml:space="preserve"> HYPERLINK \l "_Toc17191" </w:instrText>
      </w:r>
      <w:r>
        <w:fldChar w:fldCharType="separate"/>
      </w:r>
      <w:r>
        <w:rPr>
          <w:rFonts w:hint="eastAsia"/>
          <w:bCs/>
          <w:szCs w:val="28"/>
        </w:rPr>
        <w:t>（七）学生创新创业教育</w:t>
      </w:r>
      <w:r>
        <w:tab/>
      </w:r>
      <w:r>
        <w:fldChar w:fldCharType="begin"/>
      </w:r>
      <w:r>
        <w:instrText xml:space="preserve"> PAGEREF _Toc17191 \h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"_Toc7027" </w:instrText>
      </w:r>
      <w:r>
        <w:fldChar w:fldCharType="separate"/>
      </w:r>
      <w:r>
        <w:rPr>
          <w:rFonts w:hint="eastAsia" w:ascii="黑体" w:hAnsi="黑体" w:eastAsia="黑体" w:cs="黑体"/>
          <w:bCs/>
          <w:szCs w:val="30"/>
        </w:rPr>
        <w:t>五、专业培养能力</w:t>
      </w:r>
      <w:r>
        <w:tab/>
      </w:r>
      <w:r>
        <w:fldChar w:fldCharType="begin"/>
      </w:r>
      <w:r>
        <w:instrText xml:space="preserve"> PAGEREF _Toc7027 \h </w:instrText>
      </w:r>
      <w:r>
        <w:fldChar w:fldCharType="separate"/>
      </w:r>
      <w:r>
        <w:t>13</w:t>
      </w:r>
      <w:r>
        <w:fldChar w:fldCharType="end"/>
      </w:r>
      <w:r>
        <w:fldChar w:fldCharType="end"/>
      </w:r>
    </w:p>
    <w:p>
      <w:pPr>
        <w:pStyle w:val="12"/>
        <w:tabs>
          <w:tab w:val="right" w:leader="dot" w:pos="8306"/>
        </w:tabs>
      </w:pPr>
      <w:r>
        <w:fldChar w:fldCharType="begin"/>
      </w:r>
      <w:r>
        <w:instrText xml:space="preserve"> HYPERLINK \l "_Toc17780" </w:instrText>
      </w:r>
      <w:r>
        <w:fldChar w:fldCharType="separate"/>
      </w:r>
      <w:r>
        <w:rPr>
          <w:rFonts w:hint="eastAsia"/>
          <w:bCs/>
          <w:szCs w:val="28"/>
        </w:rPr>
        <w:t>（一）人才培养目标定位与特色</w:t>
      </w:r>
      <w:r>
        <w:tab/>
      </w:r>
      <w:r>
        <w:fldChar w:fldCharType="begin"/>
      </w:r>
      <w:r>
        <w:instrText xml:space="preserve"> PAGEREF _Toc17780 \h </w:instrText>
      </w:r>
      <w:r>
        <w:fldChar w:fldCharType="separate"/>
      </w:r>
      <w:r>
        <w:t>13</w:t>
      </w:r>
      <w:r>
        <w:fldChar w:fldCharType="end"/>
      </w:r>
      <w:r>
        <w:fldChar w:fldCharType="end"/>
      </w:r>
    </w:p>
    <w:p>
      <w:pPr>
        <w:pStyle w:val="12"/>
        <w:tabs>
          <w:tab w:val="right" w:leader="dot" w:pos="8306"/>
        </w:tabs>
      </w:pPr>
      <w:r>
        <w:fldChar w:fldCharType="begin"/>
      </w:r>
      <w:r>
        <w:instrText xml:space="preserve"> HYPERLINK \l "_Toc31473" </w:instrText>
      </w:r>
      <w:r>
        <w:fldChar w:fldCharType="separate"/>
      </w:r>
      <w:r>
        <w:rPr>
          <w:rFonts w:hint="eastAsia"/>
          <w:bCs/>
          <w:szCs w:val="28"/>
        </w:rPr>
        <w:t>（二）专业课程体系建设</w:t>
      </w:r>
      <w:r>
        <w:tab/>
      </w:r>
      <w:r>
        <w:fldChar w:fldCharType="begin"/>
      </w:r>
      <w:r>
        <w:instrText xml:space="preserve"> PAGEREF _Toc31473 \h </w:instrText>
      </w:r>
      <w:r>
        <w:fldChar w:fldCharType="separate"/>
      </w:r>
      <w:r>
        <w:t>14</w:t>
      </w:r>
      <w:r>
        <w:fldChar w:fldCharType="end"/>
      </w:r>
      <w:r>
        <w:fldChar w:fldCharType="end"/>
      </w:r>
    </w:p>
    <w:p>
      <w:pPr>
        <w:pStyle w:val="12"/>
        <w:tabs>
          <w:tab w:val="right" w:leader="dot" w:pos="8306"/>
        </w:tabs>
      </w:pPr>
      <w:r>
        <w:fldChar w:fldCharType="begin"/>
      </w:r>
      <w:r>
        <w:instrText xml:space="preserve"> HYPERLINK \l "_Toc7020" </w:instrText>
      </w:r>
      <w:r>
        <w:fldChar w:fldCharType="separate"/>
      </w:r>
      <w:r>
        <w:rPr>
          <w:rFonts w:hint="eastAsia"/>
          <w:bCs/>
          <w:szCs w:val="28"/>
        </w:rPr>
        <w:t>（三）立德树人落实机制</w:t>
      </w:r>
      <w:r>
        <w:tab/>
      </w:r>
      <w:r>
        <w:fldChar w:fldCharType="begin"/>
      </w:r>
      <w:r>
        <w:instrText xml:space="preserve"> PAGEREF _Toc7020 \h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"_Toc9436" </w:instrText>
      </w:r>
      <w:r>
        <w:fldChar w:fldCharType="separate"/>
      </w:r>
      <w:r>
        <w:rPr>
          <w:rFonts w:hint="eastAsia"/>
          <w:bCs/>
          <w:szCs w:val="28"/>
        </w:rPr>
        <w:t>（四）专任教师数量和结构</w:t>
      </w:r>
      <w:r>
        <w:tab/>
      </w:r>
      <w:r>
        <w:fldChar w:fldCharType="begin"/>
      </w:r>
      <w:r>
        <w:instrText xml:space="preserve"> PAGEREF _Toc9436 \h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"_Toc32472" </w:instrText>
      </w:r>
      <w:r>
        <w:fldChar w:fldCharType="separate"/>
      </w:r>
      <w:r>
        <w:rPr>
          <w:rFonts w:hint="eastAsia"/>
          <w:bCs/>
          <w:szCs w:val="28"/>
        </w:rPr>
        <w:t>（五）实践教学</w:t>
      </w:r>
      <w:r>
        <w:tab/>
      </w:r>
      <w:r>
        <w:fldChar w:fldCharType="begin"/>
      </w:r>
      <w:r>
        <w:instrText xml:space="preserve"> PAGEREF _Toc32472 \h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"_Toc10540" </w:instrText>
      </w:r>
      <w:r>
        <w:fldChar w:fldCharType="separate"/>
      </w:r>
      <w:r>
        <w:rPr>
          <w:rFonts w:hint="eastAsia"/>
          <w:bCs/>
          <w:szCs w:val="28"/>
        </w:rPr>
        <w:t>（六）学风管理</w:t>
      </w:r>
      <w:r>
        <w:tab/>
      </w:r>
      <w:r>
        <w:fldChar w:fldCharType="begin"/>
      </w:r>
      <w:r>
        <w:instrText xml:space="preserve"> PAGEREF _Toc10540 \h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"_Toc28614" </w:instrText>
      </w:r>
      <w:r>
        <w:fldChar w:fldCharType="separate"/>
      </w:r>
      <w:r>
        <w:rPr>
          <w:rFonts w:hint="eastAsia" w:ascii="黑体" w:hAnsi="黑体" w:eastAsia="黑体" w:cs="黑体"/>
          <w:bCs/>
          <w:szCs w:val="30"/>
        </w:rPr>
        <w:t>六、质量保障体系</w:t>
      </w:r>
      <w:r>
        <w:tab/>
      </w:r>
      <w:r>
        <w:fldChar w:fldCharType="begin"/>
      </w:r>
      <w:r>
        <w:instrText xml:space="preserve"> PAGEREF _Toc28614 \h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"_Toc16359" </w:instrText>
      </w:r>
      <w:r>
        <w:fldChar w:fldCharType="separate"/>
      </w:r>
      <w:r>
        <w:rPr>
          <w:rFonts w:hint="eastAsia"/>
          <w:bCs/>
          <w:szCs w:val="28"/>
        </w:rPr>
        <w:t>（一）质量保障体系</w:t>
      </w:r>
      <w:r>
        <w:tab/>
      </w:r>
      <w:r>
        <w:fldChar w:fldCharType="begin"/>
      </w:r>
      <w:r>
        <w:instrText xml:space="preserve"> PAGEREF _Toc16359 \h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"_Toc17830" </w:instrText>
      </w:r>
      <w:r>
        <w:fldChar w:fldCharType="separate"/>
      </w:r>
      <w:r>
        <w:rPr>
          <w:rFonts w:hint="eastAsia"/>
          <w:bCs/>
          <w:szCs w:val="28"/>
        </w:rPr>
        <w:t>（二）监测数据采集分析</w:t>
      </w:r>
      <w:r>
        <w:tab/>
      </w:r>
      <w:r>
        <w:fldChar w:fldCharType="begin"/>
      </w:r>
      <w:r>
        <w:instrText xml:space="preserve"> PAGEREF _Toc17830 \h </w:instrText>
      </w:r>
      <w:r>
        <w:fldChar w:fldCharType="separate"/>
      </w:r>
      <w:r>
        <w:t>1</w:t>
      </w:r>
      <w:r>
        <w:rPr>
          <w:rFonts w:hint="eastAsia"/>
          <w:lang w:val="en-US" w:eastAsia="zh-CN"/>
        </w:rPr>
        <w:t>9</w:t>
      </w:r>
      <w:r>
        <w:fldChar w:fldCharType="end"/>
      </w:r>
      <w:r>
        <w:fldChar w:fldCharType="end"/>
      </w:r>
    </w:p>
    <w:p>
      <w:pPr>
        <w:pStyle w:val="12"/>
        <w:tabs>
          <w:tab w:val="right" w:leader="dot" w:pos="8306"/>
        </w:tabs>
      </w:pPr>
      <w:r>
        <w:fldChar w:fldCharType="begin"/>
      </w:r>
      <w:r>
        <w:instrText xml:space="preserve"> HYPERLINK \l "_Toc27702" </w:instrText>
      </w:r>
      <w:r>
        <w:fldChar w:fldCharType="separate"/>
      </w:r>
      <w:r>
        <w:rPr>
          <w:rFonts w:hint="eastAsia"/>
          <w:bCs/>
          <w:szCs w:val="28"/>
        </w:rPr>
        <w:t>（三）专业评估及改进情况</w:t>
      </w:r>
      <w:r>
        <w:tab/>
      </w:r>
      <w:r>
        <w:fldChar w:fldCharType="begin"/>
      </w:r>
      <w:r>
        <w:instrText xml:space="preserve"> PAGEREF _Toc27702 \h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"_Toc17036" </w:instrText>
      </w:r>
      <w:r>
        <w:fldChar w:fldCharType="separate"/>
      </w:r>
      <w:r>
        <w:rPr>
          <w:rFonts w:hint="eastAsia" w:ascii="黑体" w:hAnsi="黑体" w:eastAsia="黑体" w:cs="黑体"/>
          <w:bCs/>
          <w:szCs w:val="30"/>
        </w:rPr>
        <w:t>七、学生学习效果</w:t>
      </w:r>
      <w:r>
        <w:tab/>
      </w:r>
      <w:r>
        <w:fldChar w:fldCharType="begin"/>
      </w:r>
      <w:r>
        <w:instrText xml:space="preserve"> PAGEREF _Toc17036 \h </w:instrText>
      </w:r>
      <w:r>
        <w:fldChar w:fldCharType="separate"/>
      </w:r>
      <w:r>
        <w:t>19</w:t>
      </w:r>
      <w:r>
        <w:fldChar w:fldCharType="end"/>
      </w:r>
      <w:r>
        <w:fldChar w:fldCharType="end"/>
      </w:r>
    </w:p>
    <w:p>
      <w:pPr>
        <w:pStyle w:val="12"/>
        <w:tabs>
          <w:tab w:val="right" w:leader="dot" w:pos="8306"/>
        </w:tabs>
      </w:pPr>
      <w:r>
        <w:fldChar w:fldCharType="begin"/>
      </w:r>
      <w:r>
        <w:instrText xml:space="preserve"> HYPERLINK \l "_Toc19750" </w:instrText>
      </w:r>
      <w:r>
        <w:fldChar w:fldCharType="separate"/>
      </w:r>
      <w:r>
        <w:rPr>
          <w:rFonts w:hint="eastAsia"/>
          <w:bCs/>
          <w:szCs w:val="28"/>
        </w:rPr>
        <w:t>（一）学生</w:t>
      </w:r>
      <w:r>
        <w:rPr>
          <w:bCs/>
          <w:szCs w:val="28"/>
        </w:rPr>
        <w:t>学习满意度</w:t>
      </w:r>
      <w:r>
        <w:tab/>
      </w:r>
      <w:r>
        <w:fldChar w:fldCharType="begin"/>
      </w:r>
      <w:r>
        <w:instrText xml:space="preserve"> PAGEREF _Toc19750 \h </w:instrText>
      </w:r>
      <w:r>
        <w:fldChar w:fldCharType="separate"/>
      </w:r>
      <w:r>
        <w:t>19</w:t>
      </w:r>
      <w:r>
        <w:fldChar w:fldCharType="end"/>
      </w:r>
      <w:r>
        <w:fldChar w:fldCharType="end"/>
      </w:r>
    </w:p>
    <w:p>
      <w:pPr>
        <w:pStyle w:val="12"/>
        <w:tabs>
          <w:tab w:val="right" w:leader="dot" w:pos="8306"/>
        </w:tabs>
        <w:rPr>
          <w:rFonts w:hint="default" w:eastAsia="宋体"/>
          <w:lang w:val="en-US" w:eastAsia="zh-CN"/>
        </w:rPr>
      </w:pPr>
      <w:r>
        <w:fldChar w:fldCharType="begin"/>
      </w:r>
      <w:r>
        <w:instrText xml:space="preserve"> HYPERLINK \l "_Toc375" </w:instrText>
      </w:r>
      <w:r>
        <w:fldChar w:fldCharType="separate"/>
      </w:r>
      <w:r>
        <w:rPr>
          <w:rFonts w:hint="eastAsia"/>
          <w:bCs/>
          <w:szCs w:val="28"/>
        </w:rPr>
        <w:t>（二）本科生毕业与就业情况</w:t>
      </w:r>
      <w:r>
        <w:tab/>
      </w:r>
      <w:r>
        <w:fldChar w:fldCharType="end"/>
      </w:r>
      <w:r>
        <w:rPr>
          <w:rFonts w:hint="eastAsia"/>
          <w:lang w:val="en-US" w:eastAsia="zh-CN"/>
        </w:rPr>
        <w:t>20</w:t>
      </w:r>
    </w:p>
    <w:p>
      <w:pPr>
        <w:pStyle w:val="11"/>
        <w:tabs>
          <w:tab w:val="right" w:leader="dot" w:pos="8306"/>
        </w:tabs>
      </w:pPr>
      <w:r>
        <w:fldChar w:fldCharType="begin"/>
      </w:r>
      <w:r>
        <w:instrText xml:space="preserve"> HYPERLINK \l "_Toc12627" </w:instrText>
      </w:r>
      <w:r>
        <w:fldChar w:fldCharType="separate"/>
      </w:r>
      <w:r>
        <w:rPr>
          <w:rFonts w:hint="eastAsia" w:ascii="黑体" w:hAnsi="黑体" w:eastAsia="黑体" w:cs="黑体"/>
          <w:bCs/>
          <w:szCs w:val="30"/>
        </w:rPr>
        <w:t>八、特色发展</w:t>
      </w:r>
      <w:r>
        <w:tab/>
      </w:r>
      <w:r>
        <w:rPr>
          <w:rFonts w:hint="eastAsia"/>
        </w:rPr>
        <w:t>2</w:t>
      </w:r>
      <w:r>
        <w:rPr>
          <w:rFonts w:hint="eastAsia"/>
        </w:rPr>
        <w:fldChar w:fldCharType="end"/>
      </w:r>
      <w:r>
        <w:rPr>
          <w:rFonts w:hint="eastAsia"/>
        </w:rPr>
        <w:t>1</w:t>
      </w:r>
    </w:p>
    <w:p>
      <w:pPr>
        <w:pStyle w:val="11"/>
        <w:tabs>
          <w:tab w:val="right" w:leader="dot" w:pos="8306"/>
        </w:tabs>
        <w:rPr>
          <w:rFonts w:hint="eastAsia" w:eastAsia="宋体"/>
          <w:lang w:eastAsia="zh-CN"/>
        </w:rPr>
      </w:pPr>
      <w:r>
        <w:fldChar w:fldCharType="begin"/>
      </w:r>
      <w:r>
        <w:instrText xml:space="preserve"> HYPERLINK \l "_Toc8132" </w:instrText>
      </w:r>
      <w:r>
        <w:fldChar w:fldCharType="separate"/>
      </w:r>
      <w:r>
        <w:rPr>
          <w:rFonts w:hint="eastAsia" w:ascii="黑体" w:hAnsi="黑体" w:eastAsia="黑体" w:cs="黑体"/>
          <w:bCs/>
          <w:szCs w:val="30"/>
        </w:rPr>
        <w:t>九、需要解决的问题</w:t>
      </w:r>
      <w:r>
        <w:tab/>
      </w:r>
      <w:r>
        <w:rPr>
          <w:rFonts w:hint="eastAsia"/>
        </w:rPr>
        <w:t>2</w:t>
      </w:r>
      <w:r>
        <w:rPr>
          <w:rFonts w:hint="eastAsia"/>
        </w:rPr>
        <w:fldChar w:fldCharType="end"/>
      </w:r>
      <w:r>
        <w:rPr>
          <w:rFonts w:hint="eastAsia"/>
          <w:lang w:val="en-US" w:eastAsia="zh-CN"/>
        </w:rPr>
        <w:t>2</w:t>
      </w:r>
    </w:p>
    <w:p>
      <w:pPr>
        <w:pStyle w:val="12"/>
        <w:tabs>
          <w:tab w:val="right" w:leader="dot" w:pos="8306"/>
        </w:tabs>
        <w:rPr>
          <w:rFonts w:hint="eastAsia" w:eastAsia="宋体"/>
          <w:lang w:eastAsia="zh-CN"/>
        </w:rPr>
      </w:pPr>
      <w:r>
        <w:fldChar w:fldCharType="begin"/>
      </w:r>
      <w:r>
        <w:instrText xml:space="preserve"> HYPERLINK \l "_Toc27923" </w:instrText>
      </w:r>
      <w:r>
        <w:fldChar w:fldCharType="separate"/>
      </w:r>
      <w:r>
        <w:rPr>
          <w:rFonts w:hint="eastAsia"/>
          <w:bCs/>
          <w:szCs w:val="28"/>
        </w:rPr>
        <w:t>（一）存在的问题</w:t>
      </w:r>
      <w:r>
        <w:tab/>
      </w:r>
      <w:r>
        <w:rPr>
          <w:rFonts w:hint="eastAsia"/>
        </w:rPr>
        <w:t>2</w:t>
      </w:r>
      <w:r>
        <w:rPr>
          <w:rFonts w:hint="eastAsia"/>
        </w:rPr>
        <w:fldChar w:fldCharType="end"/>
      </w:r>
      <w:r>
        <w:rPr>
          <w:rFonts w:hint="eastAsia"/>
          <w:lang w:val="en-US" w:eastAsia="zh-CN"/>
        </w:rPr>
        <w:t>2</w:t>
      </w:r>
    </w:p>
    <w:p>
      <w:pPr>
        <w:pStyle w:val="12"/>
        <w:tabs>
          <w:tab w:val="right" w:leader="dot" w:pos="8306"/>
        </w:tabs>
      </w:pPr>
      <w:r>
        <w:fldChar w:fldCharType="begin"/>
      </w:r>
      <w:r>
        <w:instrText xml:space="preserve"> HYPERLINK \l "_Toc17203" </w:instrText>
      </w:r>
      <w:r>
        <w:fldChar w:fldCharType="separate"/>
      </w:r>
      <w:r>
        <w:rPr>
          <w:rFonts w:hint="eastAsia"/>
          <w:bCs/>
          <w:szCs w:val="28"/>
        </w:rPr>
        <w:t>（二）主要改进措施</w:t>
      </w:r>
      <w:r>
        <w:tab/>
      </w:r>
      <w:r>
        <w:rPr>
          <w:rFonts w:hint="eastAsia"/>
        </w:rPr>
        <w:t>2</w:t>
      </w:r>
      <w:r>
        <w:rPr>
          <w:rFonts w:hint="eastAsia"/>
        </w:rPr>
        <w:fldChar w:fldCharType="end"/>
      </w:r>
      <w:r>
        <w:rPr>
          <w:rFonts w:hint="eastAsia"/>
        </w:rPr>
        <w:t>2</w:t>
      </w:r>
    </w:p>
    <w:p>
      <w:p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r>
        <w:fldChar w:fldCharType="end"/>
      </w:r>
    </w:p>
    <w:p>
      <w:pPr>
        <w:pStyle w:val="3"/>
        <w:keepNext w:val="0"/>
        <w:keepLines w:val="0"/>
        <w:spacing w:before="0" w:after="0" w:line="240" w:lineRule="auto"/>
        <w:jc w:val="left"/>
        <w:rPr>
          <w:rFonts w:ascii="黑体" w:hAnsi="黑体" w:eastAsia="黑体" w:cs="黑体"/>
          <w:b w:val="0"/>
          <w:bCs/>
          <w:sz w:val="30"/>
          <w:szCs w:val="30"/>
        </w:rPr>
      </w:pPr>
      <w:bookmarkStart w:id="1" w:name="_Toc10473_WPSOffice_Level1"/>
      <w:bookmarkStart w:id="2" w:name="_Toc31824"/>
      <w:bookmarkStart w:id="3" w:name="_Toc29481_WPSOffice_Level1"/>
      <w:bookmarkStart w:id="4" w:name="_Toc13654_WPSOffice_Level1"/>
      <w:r>
        <w:rPr>
          <w:rFonts w:hint="eastAsia" w:ascii="黑体" w:hAnsi="黑体" w:eastAsia="黑体" w:cs="黑体"/>
          <w:b w:val="0"/>
          <w:bCs/>
          <w:sz w:val="30"/>
          <w:szCs w:val="30"/>
        </w:rPr>
        <w:t>一、学校年度发展概况</w:t>
      </w:r>
      <w:bookmarkEnd w:id="1"/>
      <w:bookmarkEnd w:id="2"/>
      <w:bookmarkEnd w:id="3"/>
      <w:bookmarkEnd w:id="4"/>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2021-2022学年是学校“十四五”规划开启的第一年。学校深入学习贯彻党的十九大精神，以习近平新时代中国特色社会主义思想为指引，以立德树人为根本任务，主动适应新形势与新任务的要求，全面开启“十四五”规划新征程，紧紧围绕重点工作，持续推进内涵发展。在董事长的正确领导下，在党委政治核心引领支持下，学校各项事业取得很大发展，赢得了“十四五”的“开门红”，向建成高水平现代产业大学迈出了坚实一步。</w:t>
      </w:r>
    </w:p>
    <w:p>
      <w:pPr>
        <w:pStyle w:val="4"/>
        <w:spacing w:before="0" w:after="0" w:line="240" w:lineRule="auto"/>
        <w:rPr>
          <w:b w:val="0"/>
          <w:bCs/>
          <w:sz w:val="28"/>
          <w:szCs w:val="28"/>
        </w:rPr>
      </w:pPr>
      <w:r>
        <w:rPr>
          <w:rFonts w:hint="eastAsia"/>
          <w:b w:val="0"/>
          <w:bCs/>
          <w:sz w:val="28"/>
          <w:szCs w:val="28"/>
        </w:rPr>
        <w:t>（一）党的领导不断加强</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深入学习贯彻党的十九大精神、抓好思想政治工作，夯实党员干部思想基础，坚持不懈用习近平新时代中国特色社会主义思想统领学校政治思想文化阵地，为学校发展提供强大的思想保障。加强学校党委理论中心组学习，组织学习党的各类会议精神和习近平总书记系列重要讲话精神；开展党史学习教育，打造党员活动阵地，</w:t>
      </w:r>
      <w:r>
        <w:rPr>
          <w:rFonts w:ascii="宋体" w:hAnsi="宋体" w:cs="宋体"/>
          <w:kern w:val="0"/>
          <w:sz w:val="24"/>
          <w:szCs w:val="24"/>
        </w:rPr>
        <w:t>营造浓厚的党建红色氛围</w:t>
      </w:r>
      <w:r>
        <w:rPr>
          <w:rFonts w:hint="eastAsia" w:ascii="宋体" w:hAnsi="宋体" w:cs="宋体"/>
          <w:kern w:val="0"/>
          <w:sz w:val="24"/>
          <w:szCs w:val="24"/>
        </w:rPr>
        <w:t>；发挥新时代文明实践中心作用，积极培育和践行社会主义核心价值观；党课主题紧扣时代发展、内容精彩，获学习强国平台报道，“三亮、三比、三争”活动情况获</w:t>
      </w:r>
      <w:r>
        <w:rPr>
          <w:rFonts w:ascii="宋体" w:hAnsi="宋体" w:cs="宋体"/>
          <w:kern w:val="0"/>
          <w:sz w:val="24"/>
          <w:szCs w:val="24"/>
        </w:rPr>
        <w:t>e支部学习平台报道。</w:t>
      </w:r>
      <w:r>
        <w:rPr>
          <w:rFonts w:hint="eastAsia" w:ascii="宋体" w:hAnsi="宋体" w:cs="宋体"/>
          <w:kern w:val="0"/>
          <w:sz w:val="24"/>
          <w:szCs w:val="24"/>
        </w:rPr>
        <w:t>电子工程学院教师党支部获荣获2021年吉林省高校系统“两优一先”“先进基层党组织”荣誉称号，李杨等3名同志被评为全省优秀共产党员。实现党委组织部指导学生参赛获奖零突破，指导学生参加吉林省“挑战杯”全国大学生课外学术科技作品竞赛红色专项活动荣获三等奖、获得“读校史学党史筑信仰”吉林省高校庆祝中国共产党成立</w:t>
      </w:r>
      <w:r>
        <w:rPr>
          <w:rFonts w:ascii="宋体" w:hAnsi="宋体" w:cs="宋体"/>
          <w:kern w:val="0"/>
          <w:sz w:val="24"/>
          <w:szCs w:val="24"/>
        </w:rPr>
        <w:t>100</w:t>
      </w:r>
      <w:r>
        <w:rPr>
          <w:rFonts w:hint="eastAsia" w:ascii="宋体" w:hAnsi="宋体" w:cs="宋体"/>
          <w:kern w:val="0"/>
          <w:sz w:val="24"/>
          <w:szCs w:val="24"/>
        </w:rPr>
        <w:t>周年短视频大赛获三等奖。</w:t>
      </w:r>
    </w:p>
    <w:p>
      <w:pPr>
        <w:pStyle w:val="4"/>
        <w:spacing w:before="0" w:after="0" w:line="240" w:lineRule="auto"/>
        <w:rPr>
          <w:b w:val="0"/>
          <w:bCs/>
          <w:sz w:val="28"/>
          <w:szCs w:val="28"/>
        </w:rPr>
      </w:pPr>
      <w:r>
        <w:rPr>
          <w:rFonts w:hint="eastAsia"/>
          <w:b w:val="0"/>
          <w:bCs/>
          <w:sz w:val="28"/>
          <w:szCs w:val="28"/>
        </w:rPr>
        <w:t>（二）校内“双一流”建设取得突破性成果</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校内“双一流”建设初战告捷，本学年，获批国家级一流专业建设点1个，省级一流专业建设点2个。线上线下混合式金课《大学英语</w:t>
      </w:r>
      <w:r>
        <w:rPr>
          <w:rFonts w:ascii="宋体" w:hAnsi="宋体" w:cs="宋体"/>
          <w:kern w:val="0"/>
          <w:sz w:val="24"/>
          <w:szCs w:val="24"/>
        </w:rPr>
        <w:t>(中西文化交互)》顺利通过吉林省“金课”建设计划项目验收，被认定为吉林省高校一流本科课程</w:t>
      </w:r>
      <w:r>
        <w:rPr>
          <w:rFonts w:hint="eastAsia" w:ascii="宋体" w:hAnsi="宋体" w:cs="宋体"/>
          <w:kern w:val="0"/>
          <w:sz w:val="24"/>
          <w:szCs w:val="24"/>
        </w:rPr>
        <w:t>。至此,学校共获批国家级一流专业建设点1个,省级一流专业建设点</w:t>
      </w:r>
      <w:r>
        <w:rPr>
          <w:rFonts w:ascii="宋体" w:hAnsi="宋体" w:cs="宋体"/>
          <w:kern w:val="0"/>
          <w:sz w:val="24"/>
          <w:szCs w:val="24"/>
        </w:rPr>
        <w:t>6</w:t>
      </w:r>
      <w:r>
        <w:rPr>
          <w:rFonts w:hint="eastAsia" w:ascii="宋体" w:hAnsi="宋体" w:cs="宋体"/>
          <w:kern w:val="0"/>
          <w:sz w:val="24"/>
          <w:szCs w:val="24"/>
        </w:rPr>
        <w:t>个,省级一流课程</w:t>
      </w:r>
      <w:r>
        <w:rPr>
          <w:rFonts w:ascii="宋体" w:hAnsi="宋体" w:cs="宋体"/>
          <w:kern w:val="0"/>
          <w:sz w:val="24"/>
          <w:szCs w:val="24"/>
        </w:rPr>
        <w:t>4</w:t>
      </w:r>
      <w:r>
        <w:rPr>
          <w:rFonts w:hint="eastAsia" w:ascii="宋体" w:hAnsi="宋体" w:cs="宋体"/>
          <w:kern w:val="0"/>
          <w:sz w:val="24"/>
          <w:szCs w:val="24"/>
        </w:rPr>
        <w:t>门。</w:t>
      </w:r>
    </w:p>
    <w:p>
      <w:pPr>
        <w:pStyle w:val="4"/>
        <w:spacing w:before="0" w:after="0" w:line="240" w:lineRule="auto"/>
        <w:rPr>
          <w:b w:val="0"/>
          <w:bCs/>
          <w:sz w:val="28"/>
          <w:szCs w:val="28"/>
        </w:rPr>
      </w:pPr>
      <w:r>
        <w:rPr>
          <w:rFonts w:hint="eastAsia"/>
          <w:b w:val="0"/>
          <w:bCs/>
          <w:sz w:val="28"/>
          <w:szCs w:val="28"/>
        </w:rPr>
        <w:t>（三）科研工作取得新突破</w:t>
      </w:r>
    </w:p>
    <w:p>
      <w:pPr>
        <w:spacing w:line="400" w:lineRule="exact"/>
        <w:ind w:firstLine="480" w:firstLineChars="200"/>
        <w:rPr>
          <w:rFonts w:ascii="宋体" w:hAnsi="宋体" w:cs="宋体"/>
          <w:kern w:val="0"/>
          <w:sz w:val="24"/>
          <w:szCs w:val="24"/>
        </w:rPr>
      </w:pPr>
      <w:r>
        <w:rPr>
          <w:rFonts w:ascii="宋体" w:hAnsi="宋体" w:cs="宋体"/>
          <w:kern w:val="0"/>
          <w:sz w:val="24"/>
          <w:szCs w:val="24"/>
        </w:rPr>
        <w:t>获批教育部产学合作协同育人项目9项</w:t>
      </w:r>
      <w:r>
        <w:rPr>
          <w:rFonts w:hint="eastAsia" w:ascii="宋体" w:hAnsi="宋体" w:cs="宋体"/>
          <w:kern w:val="0"/>
          <w:sz w:val="24"/>
          <w:szCs w:val="24"/>
        </w:rPr>
        <w:t>，</w:t>
      </w:r>
      <w:r>
        <w:rPr>
          <w:rFonts w:ascii="宋体" w:hAnsi="宋体" w:cs="宋体"/>
          <w:kern w:val="0"/>
          <w:sz w:val="24"/>
          <w:szCs w:val="24"/>
        </w:rPr>
        <w:t>获批吉林省科技</w:t>
      </w:r>
      <w:r>
        <w:rPr>
          <w:rFonts w:hint="eastAsia" w:ascii="宋体" w:hAnsi="宋体" w:cs="宋体"/>
          <w:kern w:val="0"/>
          <w:sz w:val="24"/>
          <w:szCs w:val="24"/>
        </w:rPr>
        <w:t>发展计划</w:t>
      </w:r>
      <w:r>
        <w:rPr>
          <w:rFonts w:ascii="宋体" w:hAnsi="宋体" w:cs="宋体"/>
          <w:kern w:val="0"/>
          <w:sz w:val="24"/>
          <w:szCs w:val="24"/>
        </w:rPr>
        <w:t>项</w:t>
      </w:r>
      <w:r>
        <w:rPr>
          <w:rFonts w:hint="eastAsia" w:ascii="宋体" w:hAnsi="宋体" w:cs="宋体"/>
          <w:kern w:val="0"/>
          <w:sz w:val="24"/>
          <w:szCs w:val="24"/>
        </w:rPr>
        <w:t>目</w:t>
      </w:r>
      <w:r>
        <w:rPr>
          <w:rFonts w:ascii="宋体" w:hAnsi="宋体" w:cs="宋体"/>
          <w:kern w:val="0"/>
          <w:sz w:val="24"/>
          <w:szCs w:val="24"/>
        </w:rPr>
        <w:t>3项</w:t>
      </w:r>
      <w:r>
        <w:rPr>
          <w:rFonts w:hint="eastAsia" w:ascii="宋体" w:hAnsi="宋体" w:cs="宋体"/>
          <w:kern w:val="0"/>
          <w:sz w:val="24"/>
          <w:szCs w:val="24"/>
        </w:rPr>
        <w:t>（包括1项重点项目），</w:t>
      </w:r>
      <w:r>
        <w:rPr>
          <w:rFonts w:ascii="宋体" w:hAnsi="宋体" w:cs="宋体"/>
          <w:kern w:val="0"/>
          <w:sz w:val="24"/>
          <w:szCs w:val="24"/>
        </w:rPr>
        <w:t>长春市科技</w:t>
      </w:r>
      <w:r>
        <w:rPr>
          <w:rFonts w:hint="eastAsia" w:ascii="宋体" w:hAnsi="宋体" w:cs="宋体"/>
          <w:kern w:val="0"/>
          <w:sz w:val="24"/>
          <w:szCs w:val="24"/>
        </w:rPr>
        <w:t>发展计划重点</w:t>
      </w:r>
      <w:r>
        <w:rPr>
          <w:rFonts w:ascii="宋体" w:hAnsi="宋体" w:cs="宋体"/>
          <w:kern w:val="0"/>
          <w:sz w:val="24"/>
          <w:szCs w:val="24"/>
        </w:rPr>
        <w:t>项目1项</w:t>
      </w:r>
      <w:r>
        <w:rPr>
          <w:rFonts w:hint="eastAsia" w:ascii="宋体" w:hAnsi="宋体" w:cs="宋体"/>
          <w:kern w:val="0"/>
          <w:sz w:val="24"/>
          <w:szCs w:val="24"/>
        </w:rPr>
        <w:t>。</w:t>
      </w:r>
      <w:r>
        <w:rPr>
          <w:rFonts w:ascii="宋体" w:hAnsi="宋体" w:cs="宋体"/>
          <w:kern w:val="0"/>
          <w:sz w:val="24"/>
          <w:szCs w:val="24"/>
        </w:rPr>
        <w:t>立项省级以上纵向科研课题32项，横向科研课题10项。</w:t>
      </w:r>
      <w:r>
        <w:rPr>
          <w:rFonts w:hint="eastAsia" w:ascii="宋体" w:hAnsi="宋体" w:cs="宋体"/>
          <w:kern w:val="0"/>
          <w:sz w:val="24"/>
          <w:szCs w:val="24"/>
        </w:rPr>
        <w:t>组织参加吉林省</w:t>
      </w:r>
      <w:r>
        <w:rPr>
          <w:rFonts w:ascii="宋体" w:hAnsi="宋体" w:cs="宋体"/>
          <w:kern w:val="0"/>
          <w:sz w:val="24"/>
          <w:szCs w:val="24"/>
        </w:rPr>
        <w:t>“2021年科普讲解大赛”，获得吉林省二等奖、优秀组织单位奖。</w:t>
      </w:r>
      <w:r>
        <w:rPr>
          <w:rFonts w:hint="eastAsia" w:ascii="宋体" w:hAnsi="宋体" w:cs="宋体"/>
          <w:kern w:val="0"/>
          <w:sz w:val="24"/>
          <w:szCs w:val="24"/>
        </w:rPr>
        <w:t>获</w:t>
      </w:r>
      <w:r>
        <w:rPr>
          <w:rFonts w:ascii="宋体" w:hAnsi="宋体" w:cs="宋体"/>
          <w:kern w:val="0"/>
          <w:sz w:val="24"/>
          <w:szCs w:val="24"/>
        </w:rPr>
        <w:t>授权发明专利2项，实用新型专利116项，软件著作权 26项,外观设计专利3项，</w:t>
      </w:r>
      <w:r>
        <w:rPr>
          <w:rFonts w:hint="eastAsia" w:ascii="宋体" w:hAnsi="宋体" w:cs="宋体"/>
          <w:kern w:val="0"/>
          <w:sz w:val="24"/>
          <w:szCs w:val="24"/>
        </w:rPr>
        <w:t>年</w:t>
      </w:r>
      <w:r>
        <w:rPr>
          <w:rFonts w:ascii="宋体" w:hAnsi="宋体" w:cs="宋体"/>
          <w:kern w:val="0"/>
          <w:sz w:val="24"/>
          <w:szCs w:val="24"/>
        </w:rPr>
        <w:t>专利授权总数首次</w:t>
      </w:r>
      <w:r>
        <w:rPr>
          <w:rFonts w:hint="eastAsia" w:ascii="宋体" w:hAnsi="宋体" w:cs="宋体"/>
          <w:kern w:val="0"/>
          <w:sz w:val="24"/>
          <w:szCs w:val="24"/>
        </w:rPr>
        <w:t>突</w:t>
      </w:r>
      <w:r>
        <w:rPr>
          <w:rFonts w:ascii="宋体" w:hAnsi="宋体" w:cs="宋体"/>
          <w:kern w:val="0"/>
          <w:sz w:val="24"/>
          <w:szCs w:val="24"/>
        </w:rPr>
        <w:t>破</w:t>
      </w:r>
      <w:r>
        <w:rPr>
          <w:rFonts w:hint="eastAsia" w:ascii="宋体" w:hAnsi="宋体" w:cs="宋体"/>
          <w:kern w:val="0"/>
          <w:sz w:val="24"/>
          <w:szCs w:val="24"/>
        </w:rPr>
        <w:t>1</w:t>
      </w:r>
      <w:r>
        <w:rPr>
          <w:rFonts w:ascii="宋体" w:hAnsi="宋体" w:cs="宋体"/>
          <w:kern w:val="0"/>
          <w:sz w:val="24"/>
          <w:szCs w:val="24"/>
        </w:rPr>
        <w:t>00</w:t>
      </w:r>
      <w:r>
        <w:rPr>
          <w:rFonts w:hint="eastAsia" w:ascii="宋体" w:hAnsi="宋体" w:cs="宋体"/>
          <w:kern w:val="0"/>
          <w:sz w:val="24"/>
          <w:szCs w:val="24"/>
        </w:rPr>
        <w:t>项</w:t>
      </w:r>
      <w:r>
        <w:rPr>
          <w:rFonts w:ascii="宋体" w:hAnsi="宋体" w:cs="宋体"/>
          <w:kern w:val="0"/>
          <w:sz w:val="24"/>
          <w:szCs w:val="24"/>
        </w:rPr>
        <w:t>。</w:t>
      </w:r>
      <w:r>
        <w:rPr>
          <w:rFonts w:hint="eastAsia" w:ascii="宋体" w:hAnsi="宋体" w:cs="宋体"/>
          <w:kern w:val="0"/>
          <w:sz w:val="24"/>
          <w:szCs w:val="24"/>
        </w:rPr>
        <w:t>两名教师被吉林省科学技术厅聘任为</w:t>
      </w:r>
      <w:r>
        <w:rPr>
          <w:rFonts w:ascii="宋体" w:hAnsi="宋体" w:cs="宋体"/>
          <w:kern w:val="0"/>
          <w:sz w:val="24"/>
          <w:szCs w:val="24"/>
        </w:rPr>
        <w:t>2021年度吉林省科技创业导师。</w:t>
      </w:r>
      <w:r>
        <w:rPr>
          <w:rFonts w:hint="eastAsia" w:ascii="宋体" w:hAnsi="宋体" w:cs="宋体"/>
          <w:kern w:val="0"/>
          <w:sz w:val="24"/>
          <w:szCs w:val="24"/>
        </w:rPr>
        <w:t>立项建设校级科研机构28个，依托各学院现有基础，培养和提高教师队伍的学术水平，依托科研平台建立科研团队，促进学科的交叉、融合和发展。</w:t>
      </w:r>
    </w:p>
    <w:p>
      <w:pPr>
        <w:pStyle w:val="4"/>
        <w:keepNext w:val="0"/>
        <w:keepLines w:val="0"/>
        <w:spacing w:before="0" w:after="0" w:line="240" w:lineRule="auto"/>
        <w:rPr>
          <w:b w:val="0"/>
          <w:bCs/>
          <w:sz w:val="28"/>
          <w:szCs w:val="28"/>
        </w:rPr>
      </w:pPr>
      <w:r>
        <w:rPr>
          <w:rFonts w:hint="eastAsia"/>
          <w:b w:val="0"/>
          <w:bCs/>
          <w:sz w:val="28"/>
          <w:szCs w:val="28"/>
        </w:rPr>
        <w:t>（四）</w:t>
      </w:r>
      <w:r>
        <w:rPr>
          <w:b w:val="0"/>
          <w:bCs/>
          <w:sz w:val="28"/>
          <w:szCs w:val="28"/>
        </w:rPr>
        <w:t>1+X证书工作</w:t>
      </w:r>
      <w:r>
        <w:rPr>
          <w:rFonts w:hint="eastAsia"/>
          <w:b w:val="0"/>
          <w:bCs/>
          <w:sz w:val="28"/>
          <w:szCs w:val="28"/>
        </w:rPr>
        <w:t>成效显</w:t>
      </w:r>
      <w:r>
        <w:rPr>
          <w:b w:val="0"/>
          <w:bCs/>
          <w:sz w:val="28"/>
          <w:szCs w:val="28"/>
        </w:rPr>
        <w:t>著</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为</w:t>
      </w:r>
      <w:r>
        <w:rPr>
          <w:rFonts w:ascii="宋体" w:hAnsi="宋体" w:cs="宋体"/>
          <w:kern w:val="0"/>
          <w:sz w:val="24"/>
          <w:szCs w:val="24"/>
        </w:rPr>
        <w:t>主动服务国家战略</w:t>
      </w:r>
      <w:r>
        <w:rPr>
          <w:rFonts w:hint="eastAsia" w:ascii="宋体" w:hAnsi="宋体" w:cs="宋体"/>
          <w:kern w:val="0"/>
          <w:sz w:val="24"/>
          <w:szCs w:val="24"/>
        </w:rPr>
        <w:t>、</w:t>
      </w:r>
      <w:r>
        <w:rPr>
          <w:rFonts w:ascii="宋体" w:hAnsi="宋体" w:cs="宋体"/>
          <w:kern w:val="0"/>
          <w:sz w:val="24"/>
          <w:szCs w:val="24"/>
        </w:rPr>
        <w:t>适应区域经济社会发展，对接行业产业发展需求</w:t>
      </w:r>
      <w:r>
        <w:rPr>
          <w:rFonts w:hint="eastAsia" w:ascii="宋体" w:hAnsi="宋体" w:cs="宋体"/>
          <w:kern w:val="0"/>
          <w:sz w:val="24"/>
          <w:szCs w:val="24"/>
        </w:rPr>
        <w:t>，将</w:t>
      </w:r>
      <w:r>
        <w:rPr>
          <w:rFonts w:ascii="宋体" w:hAnsi="宋体" w:cs="宋体"/>
          <w:kern w:val="0"/>
          <w:sz w:val="24"/>
          <w:szCs w:val="24"/>
        </w:rPr>
        <w:t>1+X证书制度融入专业人才培养过程，面向行业、职业标准构建模块化课程，使专业课程涵盖X证书职业技能培训内容，强化学生从业能力培养，建立科学完善的课程体系</w:t>
      </w:r>
      <w:r>
        <w:rPr>
          <w:rFonts w:hint="eastAsia" w:ascii="宋体" w:hAnsi="宋体" w:cs="宋体"/>
          <w:kern w:val="0"/>
          <w:sz w:val="24"/>
          <w:szCs w:val="24"/>
        </w:rPr>
        <w:t>。大力开展</w:t>
      </w:r>
      <w:r>
        <w:rPr>
          <w:rFonts w:ascii="宋体" w:hAnsi="宋体" w:cs="宋体"/>
          <w:kern w:val="0"/>
          <w:sz w:val="24"/>
          <w:szCs w:val="24"/>
        </w:rPr>
        <w:t>1+X证书推广工作，2018级毕业生的证书目前覆盖率达到70%以上，同比去年增长31.5%。</w:t>
      </w:r>
    </w:p>
    <w:p>
      <w:pPr>
        <w:pStyle w:val="4"/>
        <w:keepNext w:val="0"/>
        <w:keepLines w:val="0"/>
        <w:spacing w:before="0" w:after="0" w:line="240" w:lineRule="auto"/>
        <w:rPr>
          <w:b w:val="0"/>
          <w:bCs/>
          <w:sz w:val="28"/>
          <w:szCs w:val="28"/>
        </w:rPr>
      </w:pPr>
      <w:r>
        <w:rPr>
          <w:rFonts w:hint="eastAsia"/>
          <w:b w:val="0"/>
          <w:bCs/>
          <w:sz w:val="28"/>
          <w:szCs w:val="28"/>
        </w:rPr>
        <w:t>（五）人才培养质量不断提高</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1.学科竞赛再创佳绩。全校参加全国、吉林省比赛共</w:t>
      </w:r>
      <w:r>
        <w:rPr>
          <w:rFonts w:ascii="宋体" w:hAnsi="宋体" w:cs="宋体"/>
          <w:kern w:val="0"/>
          <w:sz w:val="24"/>
          <w:szCs w:val="24"/>
        </w:rPr>
        <w:t>52项，参与总人次达3235人次，达到历史新高</w:t>
      </w:r>
      <w:r>
        <w:rPr>
          <w:rFonts w:hint="eastAsia" w:ascii="宋体" w:hAnsi="宋体" w:cs="宋体"/>
          <w:kern w:val="0"/>
          <w:sz w:val="24"/>
          <w:szCs w:val="24"/>
        </w:rPr>
        <w:t>。在教育部认可的比赛排名第一的“互联网</w:t>
      </w:r>
      <w:r>
        <w:rPr>
          <w:rFonts w:ascii="宋体" w:hAnsi="宋体" w:cs="宋体"/>
          <w:kern w:val="0"/>
          <w:sz w:val="24"/>
          <w:szCs w:val="24"/>
        </w:rPr>
        <w:t>+</w:t>
      </w:r>
      <w:r>
        <w:rPr>
          <w:rFonts w:hint="eastAsia" w:ascii="宋体" w:hAnsi="宋体" w:cs="宋体"/>
          <w:kern w:val="0"/>
          <w:sz w:val="24"/>
          <w:szCs w:val="24"/>
        </w:rPr>
        <w:t>”</w:t>
      </w:r>
      <w:r>
        <w:rPr>
          <w:rFonts w:ascii="宋体" w:hAnsi="宋体" w:cs="宋体"/>
          <w:kern w:val="0"/>
          <w:sz w:val="24"/>
          <w:szCs w:val="24"/>
        </w:rPr>
        <w:t>大学生创新创业大赛中取得</w:t>
      </w:r>
      <w:r>
        <w:rPr>
          <w:rFonts w:hint="eastAsia" w:ascii="宋体" w:hAnsi="宋体" w:cs="宋体"/>
          <w:kern w:val="0"/>
          <w:sz w:val="24"/>
          <w:szCs w:val="24"/>
        </w:rPr>
        <w:t>省级</w:t>
      </w:r>
      <w:r>
        <w:rPr>
          <w:rFonts w:ascii="宋体" w:hAnsi="宋体" w:cs="宋体"/>
          <w:kern w:val="0"/>
          <w:sz w:val="24"/>
          <w:szCs w:val="24"/>
        </w:rPr>
        <w:t>金奖1项，实现了我校此项比赛金奖零的突破。取得各类奖项共计467项</w:t>
      </w:r>
      <w:r>
        <w:rPr>
          <w:rFonts w:hint="eastAsia" w:ascii="宋体" w:hAnsi="宋体" w:cs="宋体"/>
          <w:kern w:val="0"/>
          <w:sz w:val="24"/>
          <w:szCs w:val="24"/>
        </w:rPr>
        <w:t>，其中，</w:t>
      </w:r>
      <w:r>
        <w:rPr>
          <w:rFonts w:ascii="宋体" w:hAnsi="宋体" w:cs="宋体"/>
          <w:kern w:val="0"/>
          <w:sz w:val="24"/>
          <w:szCs w:val="24"/>
        </w:rPr>
        <w:t>全国奖项共27项，含全国一等奖2项、全国二等奖9项、全国三等奖13项、全国优秀奖3项；吉林省奖项440项，含吉林省特等奖6项、吉林省一等奖46项、吉林省二等奖140项、吉林省三等奖241项、吉林省优秀奖7项。</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教改项目有新提升。本学年共获批吉林省教学研究与改革实践项目立项6项，新文科项目1项。</w:t>
      </w:r>
      <w:bookmarkStart w:id="5" w:name="_Hlk90390869"/>
    </w:p>
    <w:p>
      <w:pPr>
        <w:spacing w:line="400" w:lineRule="exact"/>
        <w:ind w:firstLine="480" w:firstLineChars="20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bookmarkEnd w:id="5"/>
      <w:r>
        <w:rPr>
          <w:rFonts w:ascii="宋体" w:hAnsi="宋体" w:cs="宋体"/>
          <w:kern w:val="0"/>
          <w:sz w:val="24"/>
          <w:szCs w:val="24"/>
        </w:rPr>
        <w:t>教材建设有</w:t>
      </w:r>
      <w:r>
        <w:rPr>
          <w:rFonts w:hint="eastAsia" w:ascii="宋体" w:hAnsi="宋体" w:cs="宋体"/>
          <w:kern w:val="0"/>
          <w:sz w:val="24"/>
          <w:szCs w:val="24"/>
        </w:rPr>
        <w:t>新</w:t>
      </w:r>
      <w:r>
        <w:rPr>
          <w:rFonts w:ascii="宋体" w:hAnsi="宋体" w:cs="宋体"/>
          <w:kern w:val="0"/>
          <w:sz w:val="24"/>
          <w:szCs w:val="24"/>
        </w:rPr>
        <w:t>突破</w:t>
      </w:r>
      <w:r>
        <w:rPr>
          <w:rFonts w:hint="eastAsia" w:ascii="宋体" w:hAnsi="宋体" w:cs="宋体"/>
          <w:kern w:val="0"/>
          <w:sz w:val="24"/>
          <w:szCs w:val="24"/>
        </w:rPr>
        <w:t>。吕鑫老师主编的《计算机科技基础</w:t>
      </w:r>
      <w:r>
        <w:rPr>
          <w:rFonts w:ascii="宋体" w:hAnsi="宋体" w:cs="宋体"/>
          <w:kern w:val="0"/>
          <w:sz w:val="24"/>
          <w:szCs w:val="24"/>
        </w:rPr>
        <w:t>-C程序设计》教材获批吉林省首批普通本科高校重点教材建设项目，实现了我校教材省级重点立项零的突破。</w:t>
      </w:r>
    </w:p>
    <w:p>
      <w:pPr>
        <w:spacing w:line="400" w:lineRule="exact"/>
        <w:ind w:firstLine="480" w:firstLineChars="200"/>
        <w:rPr>
          <w:rFonts w:ascii="宋体" w:hAnsi="宋体" w:cs="宋体"/>
          <w:kern w:val="0"/>
          <w:sz w:val="24"/>
          <w:szCs w:val="24"/>
        </w:rPr>
      </w:pPr>
      <w:r>
        <w:rPr>
          <w:rFonts w:ascii="宋体" w:hAnsi="宋体" w:cs="宋体"/>
          <w:kern w:val="0"/>
          <w:sz w:val="24"/>
          <w:szCs w:val="24"/>
        </w:rPr>
        <w:t>4.顺利完成</w:t>
      </w:r>
      <w:r>
        <w:rPr>
          <w:rFonts w:hint="eastAsia" w:ascii="宋体" w:hAnsi="宋体" w:cs="宋体"/>
          <w:kern w:val="0"/>
          <w:sz w:val="24"/>
          <w:szCs w:val="24"/>
        </w:rPr>
        <w:t>招生就业工作。</w:t>
      </w:r>
      <w:r>
        <w:rPr>
          <w:rFonts w:ascii="宋体" w:hAnsi="宋体" w:cs="宋体"/>
          <w:kern w:val="0"/>
          <w:sz w:val="24"/>
          <w:szCs w:val="24"/>
        </w:rPr>
        <w:t>2021年</w:t>
      </w:r>
      <w:r>
        <w:rPr>
          <w:rFonts w:hint="eastAsia" w:ascii="宋体" w:hAnsi="宋体" w:cs="宋体"/>
          <w:kern w:val="0"/>
          <w:sz w:val="24"/>
          <w:szCs w:val="24"/>
        </w:rPr>
        <w:t>，新生</w:t>
      </w:r>
      <w:r>
        <w:rPr>
          <w:rFonts w:ascii="宋体" w:hAnsi="宋体" w:cs="宋体"/>
          <w:kern w:val="0"/>
          <w:sz w:val="24"/>
          <w:szCs w:val="24"/>
        </w:rPr>
        <w:t>报到率为90.06%，</w:t>
      </w:r>
      <w:r>
        <w:rPr>
          <w:rFonts w:hint="eastAsia" w:ascii="宋体" w:hAnsi="宋体" w:cs="宋体"/>
          <w:kern w:val="0"/>
          <w:sz w:val="24"/>
          <w:szCs w:val="24"/>
        </w:rPr>
        <w:t>首届专升本招生开局良好，共</w:t>
      </w:r>
      <w:r>
        <w:rPr>
          <w:rFonts w:ascii="宋体" w:hAnsi="宋体" w:cs="宋体"/>
          <w:kern w:val="0"/>
          <w:sz w:val="24"/>
          <w:szCs w:val="24"/>
        </w:rPr>
        <w:t>报到218人</w:t>
      </w:r>
      <w:r>
        <w:rPr>
          <w:rFonts w:hint="eastAsia" w:ascii="宋体" w:hAnsi="宋体" w:cs="宋体"/>
          <w:kern w:val="0"/>
          <w:sz w:val="24"/>
          <w:szCs w:val="24"/>
        </w:rPr>
        <w:t>，新生总数比2021年增加220人。</w:t>
      </w:r>
      <w:r>
        <w:rPr>
          <w:rFonts w:ascii="宋体" w:hAnsi="宋体" w:cs="宋体"/>
          <w:kern w:val="0"/>
          <w:sz w:val="24"/>
          <w:szCs w:val="24"/>
        </w:rPr>
        <w:t>2021届毕业生共2578人，年签约率90%，建设彩虹桥项目15个，彩虹桥签约学生</w:t>
      </w:r>
      <w:r>
        <w:rPr>
          <w:rFonts w:hint="eastAsia" w:ascii="宋体" w:hAnsi="宋体" w:cs="宋体"/>
          <w:kern w:val="0"/>
          <w:sz w:val="24"/>
          <w:szCs w:val="24"/>
        </w:rPr>
        <w:t>占</w:t>
      </w:r>
      <w:r>
        <w:rPr>
          <w:rFonts w:ascii="宋体" w:hAnsi="宋体" w:cs="宋体"/>
          <w:kern w:val="0"/>
          <w:sz w:val="24"/>
          <w:szCs w:val="24"/>
        </w:rPr>
        <w:t>13.5%，省内就业率37.22%，高于</w:t>
      </w:r>
      <w:r>
        <w:rPr>
          <w:rFonts w:hint="eastAsia" w:ascii="宋体" w:hAnsi="宋体" w:cs="宋体"/>
          <w:kern w:val="0"/>
          <w:sz w:val="24"/>
          <w:szCs w:val="24"/>
        </w:rPr>
        <w:t>省内就业基准指标，得到了吉林省教育厅嘉奖。</w:t>
      </w:r>
    </w:p>
    <w:p>
      <w:pPr>
        <w:spacing w:line="400" w:lineRule="exact"/>
        <w:ind w:firstLine="480" w:firstLineChars="200"/>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积极打造考研品牌。成立“长电考研之家”，从大一开始对学生进行考研宣传，逐步引导，建立良好的考研学习风气。2</w:t>
      </w:r>
      <w:r>
        <w:rPr>
          <w:rFonts w:ascii="宋体" w:hAnsi="宋体" w:cs="宋体"/>
          <w:kern w:val="0"/>
          <w:sz w:val="24"/>
          <w:szCs w:val="24"/>
        </w:rPr>
        <w:t>021</w:t>
      </w:r>
      <w:r>
        <w:rPr>
          <w:rFonts w:hint="eastAsia" w:ascii="宋体" w:hAnsi="宋体" w:cs="宋体"/>
          <w:kern w:val="0"/>
          <w:sz w:val="24"/>
          <w:szCs w:val="24"/>
        </w:rPr>
        <w:t>年，学校</w:t>
      </w:r>
      <w:r>
        <w:rPr>
          <w:rFonts w:ascii="宋体" w:hAnsi="宋体" w:cs="宋体"/>
          <w:kern w:val="0"/>
          <w:sz w:val="24"/>
          <w:szCs w:val="24"/>
        </w:rPr>
        <w:t>考研率为</w:t>
      </w:r>
      <w:r>
        <w:rPr>
          <w:rFonts w:hint="eastAsia" w:ascii="宋体" w:hAnsi="宋体" w:cs="宋体"/>
          <w:kern w:val="0"/>
          <w:sz w:val="24"/>
          <w:szCs w:val="24"/>
          <w:lang w:val="en-US" w:eastAsia="zh-CN"/>
        </w:rPr>
        <w:t>5.12</w:t>
      </w:r>
      <w:r>
        <w:rPr>
          <w:rFonts w:ascii="宋体" w:hAnsi="宋体" w:cs="宋体"/>
          <w:kern w:val="0"/>
          <w:sz w:val="24"/>
          <w:szCs w:val="24"/>
        </w:rPr>
        <w:t>%</w:t>
      </w:r>
      <w:r>
        <w:rPr>
          <w:rFonts w:hint="eastAsia" w:ascii="宋体" w:hAnsi="宋体" w:cs="宋体"/>
          <w:kern w:val="0"/>
          <w:sz w:val="24"/>
          <w:szCs w:val="24"/>
        </w:rPr>
        <w:t>，其中，</w:t>
      </w:r>
      <w:r>
        <w:rPr>
          <w:rFonts w:ascii="宋体" w:hAnsi="宋体" w:cs="宋体"/>
          <w:kern w:val="0"/>
          <w:sz w:val="24"/>
          <w:szCs w:val="24"/>
        </w:rPr>
        <w:t>光电科学学院考研率为21.53%。考取“985”工程高校3人；“211”工程高校8人。</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6.成功获批成人高等教育学历教育办学资质。2021年已经开始招生，我校是目前省内唯一拥有成人学历教育的民办高校。</w:t>
      </w:r>
    </w:p>
    <w:p>
      <w:pPr>
        <w:pStyle w:val="4"/>
        <w:keepNext w:val="0"/>
        <w:keepLines w:val="0"/>
        <w:spacing w:before="0" w:after="0" w:line="240" w:lineRule="auto"/>
        <w:rPr>
          <w:b w:val="0"/>
          <w:bCs/>
          <w:sz w:val="28"/>
          <w:szCs w:val="28"/>
        </w:rPr>
      </w:pPr>
      <w:r>
        <w:rPr>
          <w:rFonts w:hint="eastAsia"/>
          <w:b w:val="0"/>
          <w:bCs/>
          <w:sz w:val="28"/>
          <w:szCs w:val="28"/>
        </w:rPr>
        <w:t>（六）师资队伍结构不断优化</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.获批吉林省首批全系列专业技术职务评聘试点单位</w:t>
      </w:r>
      <w:r>
        <w:rPr>
          <w:rFonts w:hint="eastAsia" w:ascii="宋体" w:hAnsi="宋体" w:cs="宋体"/>
          <w:kern w:val="0"/>
          <w:sz w:val="24"/>
          <w:szCs w:val="24"/>
        </w:rPr>
        <w:t>。</w:t>
      </w:r>
      <w:bookmarkStart w:id="146" w:name="_GoBack"/>
      <w:bookmarkEnd w:id="146"/>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2.人才培养取得新突破。本学年有</w:t>
      </w:r>
      <w:r>
        <w:rPr>
          <w:rFonts w:ascii="宋体" w:hAnsi="宋体" w:cs="宋体"/>
          <w:kern w:val="0"/>
          <w:sz w:val="24"/>
          <w:szCs w:val="24"/>
        </w:rPr>
        <w:t>21</w:t>
      </w:r>
      <w:r>
        <w:rPr>
          <w:rFonts w:hint="eastAsia" w:ascii="宋体" w:hAnsi="宋体" w:cs="宋体"/>
          <w:kern w:val="0"/>
          <w:sz w:val="24"/>
          <w:szCs w:val="24"/>
        </w:rPr>
        <w:t>位教师攻读博士学位</w:t>
      </w:r>
      <w:r>
        <w:rPr>
          <w:rFonts w:ascii="宋体" w:hAnsi="宋体" w:cs="宋体"/>
          <w:kern w:val="0"/>
          <w:sz w:val="24"/>
          <w:szCs w:val="24"/>
        </w:rPr>
        <w:t>，其中</w:t>
      </w:r>
      <w:r>
        <w:rPr>
          <w:rFonts w:hint="eastAsia" w:ascii="宋体" w:hAnsi="宋体" w:cs="宋体"/>
          <w:kern w:val="0"/>
          <w:sz w:val="24"/>
          <w:szCs w:val="24"/>
        </w:rPr>
        <w:t>，</w:t>
      </w:r>
      <w:r>
        <w:rPr>
          <w:rFonts w:ascii="宋体" w:hAnsi="宋体" w:cs="宋体"/>
          <w:kern w:val="0"/>
          <w:sz w:val="24"/>
          <w:szCs w:val="24"/>
        </w:rPr>
        <w:t>赴韩国攻读博士学位17人，国内攻读博士学位4人</w:t>
      </w:r>
      <w:r>
        <w:rPr>
          <w:rFonts w:hint="eastAsia" w:ascii="宋体" w:hAnsi="宋体" w:cs="宋体"/>
          <w:kern w:val="0"/>
          <w:sz w:val="24"/>
          <w:szCs w:val="24"/>
        </w:rPr>
        <w:t>。</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3.高层次人才引进取得新成就。全年共引进49</w:t>
      </w:r>
      <w:r>
        <w:rPr>
          <w:rFonts w:ascii="宋体" w:hAnsi="宋体" w:cs="宋体"/>
          <w:kern w:val="0"/>
          <w:sz w:val="24"/>
          <w:szCs w:val="24"/>
        </w:rPr>
        <w:t>人，其中</w:t>
      </w:r>
      <w:r>
        <w:rPr>
          <w:rFonts w:hint="eastAsia" w:ascii="宋体" w:hAnsi="宋体" w:cs="宋体"/>
          <w:kern w:val="0"/>
          <w:sz w:val="24"/>
          <w:szCs w:val="24"/>
        </w:rPr>
        <w:t>，</w:t>
      </w:r>
      <w:r>
        <w:rPr>
          <w:rFonts w:ascii="宋体" w:hAnsi="宋体" w:cs="宋体"/>
          <w:kern w:val="0"/>
          <w:sz w:val="24"/>
          <w:szCs w:val="24"/>
        </w:rPr>
        <w:t>全职引进博士后1人</w:t>
      </w:r>
      <w:r>
        <w:rPr>
          <w:rFonts w:hint="eastAsia" w:ascii="宋体" w:hAnsi="宋体" w:cs="宋体"/>
          <w:kern w:val="0"/>
          <w:sz w:val="24"/>
          <w:szCs w:val="24"/>
        </w:rPr>
        <w:t>、</w:t>
      </w:r>
      <w:r>
        <w:rPr>
          <w:rFonts w:ascii="宋体" w:hAnsi="宋体" w:cs="宋体"/>
          <w:kern w:val="0"/>
          <w:sz w:val="24"/>
          <w:szCs w:val="24"/>
        </w:rPr>
        <w:t>博士1人</w:t>
      </w:r>
      <w:r>
        <w:rPr>
          <w:rFonts w:hint="eastAsia" w:ascii="宋体" w:hAnsi="宋体" w:cs="宋体"/>
          <w:kern w:val="0"/>
          <w:sz w:val="24"/>
          <w:szCs w:val="24"/>
        </w:rPr>
        <w:t>、</w:t>
      </w:r>
      <w:r>
        <w:rPr>
          <w:rFonts w:ascii="宋体" w:hAnsi="宋体" w:cs="宋体"/>
          <w:kern w:val="0"/>
          <w:sz w:val="24"/>
          <w:szCs w:val="24"/>
        </w:rPr>
        <w:t>硕士25人</w:t>
      </w:r>
      <w:r>
        <w:rPr>
          <w:rFonts w:hint="eastAsia" w:ascii="宋体" w:hAnsi="宋体" w:cs="宋体"/>
          <w:kern w:val="0"/>
          <w:sz w:val="24"/>
          <w:szCs w:val="24"/>
        </w:rPr>
        <w:t>、</w:t>
      </w:r>
      <w:r>
        <w:rPr>
          <w:rFonts w:ascii="宋体" w:hAnsi="宋体" w:cs="宋体"/>
          <w:kern w:val="0"/>
          <w:sz w:val="24"/>
          <w:szCs w:val="24"/>
        </w:rPr>
        <w:t>教授2人</w:t>
      </w:r>
      <w:r>
        <w:rPr>
          <w:rFonts w:hint="eastAsia" w:ascii="宋体" w:hAnsi="宋体" w:cs="宋体"/>
          <w:kern w:val="0"/>
          <w:sz w:val="24"/>
          <w:szCs w:val="24"/>
        </w:rPr>
        <w:t>、</w:t>
      </w:r>
      <w:r>
        <w:rPr>
          <w:rFonts w:ascii="宋体" w:hAnsi="宋体" w:cs="宋体"/>
          <w:kern w:val="0"/>
          <w:sz w:val="24"/>
          <w:szCs w:val="24"/>
        </w:rPr>
        <w:t>副教授1人</w:t>
      </w:r>
      <w:r>
        <w:rPr>
          <w:rFonts w:hint="eastAsia" w:ascii="宋体" w:hAnsi="宋体" w:cs="宋体"/>
          <w:kern w:val="0"/>
          <w:sz w:val="24"/>
          <w:szCs w:val="24"/>
        </w:rPr>
        <w:t>，</w:t>
      </w:r>
      <w:r>
        <w:rPr>
          <w:rFonts w:ascii="宋体" w:hAnsi="宋体" w:cs="宋体"/>
          <w:kern w:val="0"/>
          <w:sz w:val="24"/>
          <w:szCs w:val="24"/>
        </w:rPr>
        <w:t>柔性引进博士19人</w:t>
      </w:r>
      <w:r>
        <w:rPr>
          <w:rFonts w:hint="eastAsia" w:ascii="宋体" w:hAnsi="宋体" w:cs="宋体"/>
          <w:kern w:val="0"/>
          <w:sz w:val="24"/>
          <w:szCs w:val="24"/>
        </w:rPr>
        <w:t>，成功聘请长白山学者蒋振刚为我校客座教授。</w:t>
      </w:r>
    </w:p>
    <w:p>
      <w:pPr>
        <w:spacing w:line="400" w:lineRule="exact"/>
        <w:ind w:firstLine="480" w:firstLineChars="200"/>
        <w:rPr>
          <w:rFonts w:ascii="仿宋_GB2312" w:eastAsia="仿宋_GB2312"/>
          <w:color w:val="333333"/>
          <w:kern w:val="0"/>
          <w:sz w:val="28"/>
          <w:szCs w:val="28"/>
        </w:rPr>
      </w:pPr>
      <w:r>
        <w:rPr>
          <w:rFonts w:hint="eastAsia" w:ascii="宋体" w:hAnsi="宋体" w:cs="宋体"/>
          <w:kern w:val="0"/>
          <w:sz w:val="24"/>
          <w:szCs w:val="24"/>
        </w:rPr>
        <w:t>4</w:t>
      </w:r>
      <w:r>
        <w:rPr>
          <w:rFonts w:ascii="宋体" w:hAnsi="宋体" w:cs="宋体"/>
          <w:kern w:val="0"/>
          <w:sz w:val="24"/>
          <w:szCs w:val="24"/>
        </w:rPr>
        <w:t>.</w:t>
      </w:r>
      <w:r>
        <w:rPr>
          <w:rFonts w:hint="eastAsia" w:ascii="宋体" w:hAnsi="宋体" w:cs="宋体"/>
          <w:kern w:val="0"/>
          <w:sz w:val="24"/>
          <w:szCs w:val="24"/>
        </w:rPr>
        <w:t>多位</w:t>
      </w:r>
      <w:r>
        <w:rPr>
          <w:rFonts w:ascii="宋体" w:hAnsi="宋体" w:cs="宋体"/>
          <w:kern w:val="0"/>
          <w:sz w:val="24"/>
          <w:szCs w:val="24"/>
        </w:rPr>
        <w:t>教师荣获项省级</w:t>
      </w:r>
      <w:r>
        <w:rPr>
          <w:rFonts w:hint="eastAsia" w:ascii="宋体" w:hAnsi="宋体" w:cs="宋体"/>
          <w:kern w:val="0"/>
          <w:sz w:val="24"/>
          <w:szCs w:val="24"/>
        </w:rPr>
        <w:t>荣誉称号</w:t>
      </w:r>
      <w:r>
        <w:rPr>
          <w:rFonts w:ascii="宋体" w:hAnsi="宋体" w:cs="宋体"/>
          <w:kern w:val="0"/>
          <w:sz w:val="24"/>
          <w:szCs w:val="24"/>
        </w:rPr>
        <w:t>。朱绚曼老师获得“吉林省首批教育世家”荣誉称号</w:t>
      </w:r>
      <w:r>
        <w:rPr>
          <w:rFonts w:hint="eastAsia" w:ascii="宋体" w:hAnsi="宋体" w:cs="宋体"/>
          <w:kern w:val="0"/>
          <w:sz w:val="24"/>
          <w:szCs w:val="24"/>
        </w:rPr>
        <w:t>，</w:t>
      </w:r>
      <w:r>
        <w:rPr>
          <w:rFonts w:ascii="宋体" w:hAnsi="宋体" w:cs="宋体"/>
          <w:kern w:val="0"/>
          <w:sz w:val="24"/>
          <w:szCs w:val="24"/>
        </w:rPr>
        <w:t>潘妲老师获评省级思政教学名师</w:t>
      </w:r>
      <w:r>
        <w:rPr>
          <w:rFonts w:hint="eastAsia" w:ascii="宋体" w:hAnsi="宋体" w:cs="宋体"/>
          <w:kern w:val="0"/>
          <w:sz w:val="24"/>
          <w:szCs w:val="24"/>
        </w:rPr>
        <w:t>，</w:t>
      </w:r>
      <w:r>
        <w:rPr>
          <w:rFonts w:ascii="宋体" w:hAnsi="宋体" w:cs="宋体"/>
          <w:kern w:val="0"/>
          <w:sz w:val="24"/>
          <w:szCs w:val="24"/>
        </w:rPr>
        <w:t>孙晓黎老师获评省级教学新秀</w:t>
      </w:r>
      <w:r>
        <w:rPr>
          <w:rFonts w:hint="eastAsia" w:ascii="宋体" w:hAnsi="宋体" w:cs="宋体"/>
          <w:kern w:val="0"/>
          <w:sz w:val="24"/>
          <w:szCs w:val="24"/>
        </w:rPr>
        <w:t>，王耀远、刘赟被聘为2021-2025年吉林省高等学校教学指导委员会成员。进一步</w:t>
      </w:r>
      <w:r>
        <w:rPr>
          <w:rFonts w:ascii="宋体" w:hAnsi="宋体" w:cs="宋体"/>
          <w:kern w:val="0"/>
          <w:sz w:val="24"/>
          <w:szCs w:val="24"/>
        </w:rPr>
        <w:t xml:space="preserve">提高了学校声誉，在教师中起到了引领示范作用。 </w:t>
      </w:r>
      <w:r>
        <w:rPr>
          <w:rFonts w:ascii="仿宋_GB2312" w:eastAsia="仿宋_GB2312"/>
          <w:color w:val="333333"/>
          <w:kern w:val="0"/>
          <w:sz w:val="28"/>
          <w:szCs w:val="28"/>
        </w:rPr>
        <w:t xml:space="preserve">       </w:t>
      </w:r>
      <w:bookmarkStart w:id="6" w:name="_Toc21202_WPSOffice_Level1"/>
      <w:bookmarkStart w:id="7" w:name="_Toc16703_WPSOffice_Level1"/>
      <w:bookmarkStart w:id="8" w:name="_Toc736_WPSOffice_Level1"/>
      <w:bookmarkStart w:id="9" w:name="_Toc27031"/>
    </w:p>
    <w:p>
      <w:pPr>
        <w:pStyle w:val="3"/>
        <w:spacing w:before="0" w:after="0" w:line="240" w:lineRule="auto"/>
        <w:rPr>
          <w:rFonts w:ascii="黑体" w:hAnsi="黑体" w:eastAsia="黑体"/>
          <w:b w:val="0"/>
          <w:bCs/>
          <w:sz w:val="30"/>
          <w:szCs w:val="30"/>
        </w:rPr>
      </w:pPr>
      <w:r>
        <w:rPr>
          <w:rFonts w:hint="eastAsia" w:ascii="黑体" w:hAnsi="黑体" w:eastAsia="黑体"/>
          <w:b w:val="0"/>
          <w:bCs/>
          <w:sz w:val="30"/>
          <w:szCs w:val="30"/>
        </w:rPr>
        <w:t>二、本科教育基本情况</w:t>
      </w:r>
      <w:bookmarkEnd w:id="6"/>
      <w:bookmarkEnd w:id="7"/>
      <w:bookmarkEnd w:id="8"/>
      <w:bookmarkEnd w:id="9"/>
    </w:p>
    <w:p>
      <w:pPr>
        <w:pStyle w:val="4"/>
        <w:spacing w:before="0" w:after="0" w:line="240" w:lineRule="auto"/>
        <w:rPr>
          <w:rFonts w:ascii="宋体" w:hAnsi="宋体" w:cs="仿宋"/>
          <w:sz w:val="24"/>
          <w:szCs w:val="24"/>
        </w:rPr>
      </w:pPr>
      <w:bookmarkStart w:id="10" w:name="_Toc13537_WPSOffice_Level2"/>
      <w:bookmarkStart w:id="11" w:name="_Toc10133_WPSOffice_Level2"/>
      <w:bookmarkStart w:id="12" w:name="_Toc1992_WPSOffice_Level2"/>
      <w:bookmarkStart w:id="13" w:name="_Toc28186"/>
      <w:r>
        <w:rPr>
          <w:rFonts w:hint="eastAsia"/>
          <w:b w:val="0"/>
          <w:bCs/>
          <w:sz w:val="28"/>
          <w:szCs w:val="28"/>
        </w:rPr>
        <w:t>（一）人才培养目标及服务面向</w:t>
      </w:r>
      <w:bookmarkEnd w:id="10"/>
      <w:bookmarkEnd w:id="11"/>
      <w:bookmarkEnd w:id="12"/>
      <w:bookmarkEnd w:id="13"/>
    </w:p>
    <w:p>
      <w:pPr>
        <w:spacing w:line="400" w:lineRule="exact"/>
        <w:ind w:firstLine="480" w:firstLineChars="200"/>
        <w:rPr>
          <w:rFonts w:ascii="微软雅黑" w:hAnsi="微软雅黑" w:eastAsia="微软雅黑"/>
          <w:color w:val="444444"/>
          <w:sz w:val="23"/>
          <w:szCs w:val="23"/>
        </w:rPr>
      </w:pPr>
      <w:r>
        <w:rPr>
          <w:rFonts w:hint="eastAsia" w:ascii="宋体" w:hAnsi="宋体" w:cs="仿宋"/>
          <w:sz w:val="24"/>
          <w:szCs w:val="24"/>
        </w:rPr>
        <w:t>学</w:t>
      </w:r>
      <w:r>
        <w:rPr>
          <w:rFonts w:ascii="宋体" w:hAnsi="宋体" w:cs="仿宋"/>
          <w:sz w:val="24"/>
          <w:szCs w:val="24"/>
        </w:rPr>
        <w:t>校</w:t>
      </w:r>
      <w:r>
        <w:rPr>
          <w:rFonts w:hint="eastAsia" w:ascii="宋体" w:hAnsi="宋体" w:cs="仿宋"/>
          <w:sz w:val="24"/>
          <w:szCs w:val="24"/>
        </w:rPr>
        <w:t>以中国特色社会主义理论体系为指导，深入贯彻落实党的教育方针和政策，坚持应用型办学定位，以培养专业基础知识扎实，具有人文和创业、创新精神，具有国际化视野的高素质应用型技术技能型人才为人才培养目标，以“立足吉林、面向全国、走向世界”为服务方向，始终把人才培养作为学校的根本任务，牢固树立“人才培养是学校的根本使命，提高人才培养质量是学校的核心任务”的思想观念，全面深化教学改革，努力建设特色鲜明、社会认可度高的高水平应用型大学。</w:t>
      </w:r>
    </w:p>
    <w:p>
      <w:pPr>
        <w:pStyle w:val="4"/>
        <w:spacing w:before="0" w:after="0" w:line="240" w:lineRule="auto"/>
        <w:rPr>
          <w:b w:val="0"/>
          <w:bCs/>
          <w:sz w:val="28"/>
          <w:szCs w:val="28"/>
        </w:rPr>
      </w:pPr>
      <w:bookmarkStart w:id="14" w:name="_Toc2040"/>
      <w:bookmarkStart w:id="15" w:name="_Toc22365_WPSOffice_Level2"/>
      <w:bookmarkStart w:id="16" w:name="_Toc4997_WPSOffice_Level2"/>
      <w:bookmarkStart w:id="17" w:name="_Toc16464_WPSOffice_Level2"/>
      <w:r>
        <w:rPr>
          <w:rFonts w:hint="eastAsia"/>
          <w:b w:val="0"/>
          <w:bCs/>
          <w:sz w:val="28"/>
          <w:szCs w:val="28"/>
        </w:rPr>
        <w:t>（二）本科专业设置情况</w:t>
      </w:r>
      <w:bookmarkEnd w:id="14"/>
      <w:bookmarkEnd w:id="15"/>
      <w:bookmarkEnd w:id="16"/>
      <w:bookmarkEnd w:id="17"/>
    </w:p>
    <w:p>
      <w:pPr>
        <w:spacing w:line="400" w:lineRule="exact"/>
        <w:ind w:firstLine="480" w:firstLineChars="200"/>
        <w:rPr>
          <w:rFonts w:ascii="宋体" w:hAnsi="宋体" w:cs="宋体"/>
          <w:kern w:val="0"/>
          <w:sz w:val="24"/>
          <w:szCs w:val="24"/>
        </w:rPr>
      </w:pPr>
      <w:r>
        <w:rPr>
          <w:rFonts w:hint="eastAsia" w:ascii="宋体" w:hAnsi="宋体" w:cs="仿宋"/>
          <w:sz w:val="24"/>
          <w:szCs w:val="24"/>
        </w:rPr>
        <w:t>学</w:t>
      </w:r>
      <w:r>
        <w:rPr>
          <w:rFonts w:ascii="宋体" w:hAnsi="宋体" w:cs="仿宋"/>
          <w:sz w:val="24"/>
          <w:szCs w:val="24"/>
        </w:rPr>
        <w:t>校</w:t>
      </w:r>
      <w:r>
        <w:rPr>
          <w:rFonts w:ascii="宋体" w:hAnsi="宋体" w:cs="宋体"/>
          <w:kern w:val="0"/>
          <w:sz w:val="24"/>
          <w:szCs w:val="24"/>
        </w:rPr>
        <w:t>紧紧围绕国家和吉林省光电信息、人工智能</w:t>
      </w:r>
      <w:r>
        <w:rPr>
          <w:rFonts w:hint="eastAsia" w:ascii="宋体" w:hAnsi="宋体" w:cs="宋体"/>
          <w:kern w:val="0"/>
          <w:sz w:val="24"/>
          <w:szCs w:val="24"/>
        </w:rPr>
        <w:t>、</w:t>
      </w:r>
      <w:r>
        <w:rPr>
          <w:rFonts w:ascii="宋体" w:hAnsi="宋体" w:cs="宋体"/>
          <w:kern w:val="0"/>
          <w:sz w:val="24"/>
          <w:szCs w:val="24"/>
        </w:rPr>
        <w:t>大数据等战略性新兴产业发展需求，构建以工科为主，工、理、文、经、管、艺相互渗透、协调发展学科</w:t>
      </w:r>
      <w:r>
        <w:rPr>
          <w:rFonts w:hint="eastAsia" w:ascii="宋体" w:hAnsi="宋体" w:cs="宋体"/>
          <w:kern w:val="0"/>
          <w:sz w:val="24"/>
          <w:szCs w:val="24"/>
        </w:rPr>
        <w:t>专业体系</w:t>
      </w:r>
      <w:r>
        <w:rPr>
          <w:rFonts w:ascii="宋体" w:hAnsi="宋体" w:cs="宋体"/>
          <w:kern w:val="0"/>
          <w:sz w:val="24"/>
          <w:szCs w:val="24"/>
        </w:rPr>
        <w:t>。现开设本科专业</w:t>
      </w:r>
      <w:r>
        <w:rPr>
          <w:rFonts w:hint="eastAsia" w:ascii="宋体" w:hAnsi="宋体" w:cs="宋体"/>
          <w:kern w:val="0"/>
          <w:sz w:val="24"/>
          <w:szCs w:val="24"/>
        </w:rPr>
        <w:t>3</w:t>
      </w:r>
      <w:r>
        <w:rPr>
          <w:rFonts w:ascii="宋体" w:hAnsi="宋体" w:cs="宋体"/>
          <w:kern w:val="0"/>
          <w:sz w:val="24"/>
          <w:szCs w:val="24"/>
        </w:rPr>
        <w:t>7个（见表1），光</w:t>
      </w:r>
      <w:r>
        <w:rPr>
          <w:rFonts w:hint="eastAsia" w:ascii="宋体" w:hAnsi="宋体" w:cs="宋体"/>
          <w:kern w:val="0"/>
          <w:sz w:val="24"/>
          <w:szCs w:val="24"/>
        </w:rPr>
        <w:t>电</w:t>
      </w:r>
      <w:r>
        <w:rPr>
          <w:rFonts w:ascii="宋体" w:hAnsi="宋体" w:cs="宋体"/>
          <w:kern w:val="0"/>
          <w:sz w:val="24"/>
          <w:szCs w:val="24"/>
        </w:rPr>
        <w:t>类专业是学校的品牌专业。</w:t>
      </w:r>
      <w:r>
        <w:rPr>
          <w:rFonts w:hint="eastAsia" w:ascii="宋体" w:hAnsi="宋体" w:cs="宋体"/>
          <w:kern w:val="0"/>
          <w:sz w:val="24"/>
          <w:szCs w:val="24"/>
        </w:rPr>
        <w:t>202</w:t>
      </w:r>
      <w:r>
        <w:rPr>
          <w:rFonts w:ascii="宋体" w:hAnsi="宋体" w:cs="宋体"/>
          <w:kern w:val="0"/>
          <w:sz w:val="24"/>
          <w:szCs w:val="24"/>
        </w:rPr>
        <w:t>1</w:t>
      </w:r>
      <w:r>
        <w:rPr>
          <w:rFonts w:hint="eastAsia" w:ascii="宋体" w:hAnsi="宋体" w:cs="宋体"/>
          <w:kern w:val="0"/>
          <w:sz w:val="24"/>
          <w:szCs w:val="24"/>
        </w:rPr>
        <w:t>年，学校获批智能感知工程、数字经济、服装与服饰设计</w:t>
      </w:r>
      <w:r>
        <w:rPr>
          <w:rFonts w:ascii="宋体" w:hAnsi="宋体" w:cs="宋体"/>
          <w:kern w:val="0"/>
          <w:sz w:val="24"/>
          <w:szCs w:val="24"/>
        </w:rPr>
        <w:t>3</w:t>
      </w:r>
      <w:r>
        <w:rPr>
          <w:rFonts w:hint="eastAsia" w:ascii="宋体" w:hAnsi="宋体" w:cs="宋体"/>
          <w:kern w:val="0"/>
          <w:sz w:val="24"/>
          <w:szCs w:val="24"/>
        </w:rPr>
        <w:t>个新专业。</w:t>
      </w:r>
    </w:p>
    <w:p>
      <w:pPr>
        <w:spacing w:before="156" w:beforeLines="50"/>
        <w:jc w:val="center"/>
        <w:rPr>
          <w:rFonts w:ascii="宋体" w:hAnsi="宋体" w:cs="仿宋"/>
          <w:bCs/>
          <w:szCs w:val="21"/>
        </w:rPr>
      </w:pPr>
      <w:r>
        <w:rPr>
          <w:rFonts w:hint="eastAsia" w:ascii="宋体" w:hAnsi="宋体" w:cs="仿宋"/>
          <w:bCs/>
          <w:szCs w:val="21"/>
        </w:rPr>
        <w:t>表1  专业设置情况表</w:t>
      </w:r>
    </w:p>
    <w:tbl>
      <w:tblPr>
        <w:tblStyle w:val="16"/>
        <w:tblpPr w:leftFromText="180" w:rightFromText="180" w:vertAnchor="text" w:horzAnchor="margin" w:tblpXSpec="center" w:tblpY="234"/>
        <w:tblW w:w="71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849"/>
        <w:gridCol w:w="2227"/>
        <w:gridCol w:w="992"/>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710" w:type="dxa"/>
            <w:tcBorders>
              <w:top w:val="single" w:color="auto" w:sz="4" w:space="0"/>
              <w:bottom w:val="single" w:color="auto" w:sz="4" w:space="0"/>
              <w:right w:val="single" w:color="auto" w:sz="4" w:space="0"/>
            </w:tcBorders>
            <w:vAlign w:val="center"/>
          </w:tcPr>
          <w:p>
            <w:pPr>
              <w:jc w:val="center"/>
              <w:rPr>
                <w:rFonts w:cs="宋体"/>
                <w:bCs/>
                <w:kern w:val="0"/>
                <w:sz w:val="18"/>
                <w:szCs w:val="18"/>
              </w:rPr>
            </w:pPr>
            <w:r>
              <w:rPr>
                <w:rFonts w:hint="eastAsia" w:cs="宋体"/>
                <w:bCs/>
                <w:kern w:val="0"/>
                <w:sz w:val="18"/>
                <w:szCs w:val="18"/>
              </w:rPr>
              <w:t>序号</w:t>
            </w:r>
          </w:p>
        </w:tc>
        <w:tc>
          <w:tcPr>
            <w:tcW w:w="1849" w:type="dxa"/>
            <w:tcBorders>
              <w:top w:val="single" w:color="auto" w:sz="4" w:space="0"/>
              <w:bottom w:val="single" w:color="auto" w:sz="4" w:space="0"/>
              <w:right w:val="single" w:color="auto" w:sz="4" w:space="0"/>
            </w:tcBorders>
            <w:vAlign w:val="center"/>
          </w:tcPr>
          <w:p>
            <w:pPr>
              <w:jc w:val="center"/>
              <w:rPr>
                <w:rFonts w:cs="宋体"/>
                <w:bCs/>
                <w:kern w:val="0"/>
                <w:sz w:val="18"/>
                <w:szCs w:val="18"/>
              </w:rPr>
            </w:pPr>
            <w:r>
              <w:rPr>
                <w:rFonts w:hint="eastAsia" w:cs="宋体"/>
                <w:bCs/>
                <w:kern w:val="0"/>
                <w:sz w:val="18"/>
                <w:szCs w:val="18"/>
              </w:rPr>
              <w:t>教学单位</w:t>
            </w:r>
          </w:p>
        </w:tc>
        <w:tc>
          <w:tcPr>
            <w:tcW w:w="2227" w:type="dxa"/>
            <w:tcBorders>
              <w:top w:val="single" w:color="auto" w:sz="4" w:space="0"/>
              <w:bottom w:val="single" w:color="auto" w:sz="4" w:space="0"/>
              <w:right w:val="single" w:color="auto" w:sz="4" w:space="0"/>
            </w:tcBorders>
            <w:vAlign w:val="center"/>
          </w:tcPr>
          <w:p>
            <w:pPr>
              <w:jc w:val="center"/>
              <w:rPr>
                <w:rFonts w:cs="宋体"/>
                <w:bCs/>
                <w:kern w:val="0"/>
                <w:sz w:val="18"/>
                <w:szCs w:val="18"/>
              </w:rPr>
            </w:pPr>
            <w:r>
              <w:rPr>
                <w:rFonts w:hint="eastAsia" w:cs="宋体"/>
                <w:bCs/>
                <w:kern w:val="0"/>
                <w:sz w:val="18"/>
                <w:szCs w:val="18"/>
              </w:rPr>
              <w:t>专业名称</w:t>
            </w:r>
          </w:p>
        </w:tc>
        <w:tc>
          <w:tcPr>
            <w:tcW w:w="992" w:type="dxa"/>
            <w:tcBorders>
              <w:top w:val="single" w:color="auto" w:sz="4" w:space="0"/>
              <w:bottom w:val="single" w:color="auto" w:sz="4" w:space="0"/>
              <w:right w:val="single" w:color="auto" w:sz="4" w:space="0"/>
            </w:tcBorders>
            <w:vAlign w:val="center"/>
          </w:tcPr>
          <w:p>
            <w:pPr>
              <w:jc w:val="center"/>
              <w:rPr>
                <w:rFonts w:cs="宋体"/>
                <w:bCs/>
                <w:kern w:val="0"/>
                <w:sz w:val="18"/>
                <w:szCs w:val="18"/>
              </w:rPr>
            </w:pPr>
            <w:r>
              <w:rPr>
                <w:rFonts w:hint="eastAsia" w:cs="宋体"/>
                <w:bCs/>
                <w:kern w:val="0"/>
                <w:sz w:val="18"/>
                <w:szCs w:val="18"/>
              </w:rPr>
              <w:t>学科门类</w:t>
            </w:r>
          </w:p>
        </w:tc>
        <w:tc>
          <w:tcPr>
            <w:tcW w:w="1418" w:type="dxa"/>
            <w:tcBorders>
              <w:top w:val="single" w:color="auto" w:sz="4" w:space="0"/>
              <w:left w:val="single" w:color="auto" w:sz="4" w:space="0"/>
              <w:bottom w:val="single" w:color="auto" w:sz="4" w:space="0"/>
            </w:tcBorders>
            <w:vAlign w:val="center"/>
          </w:tcPr>
          <w:p>
            <w:pPr>
              <w:jc w:val="center"/>
              <w:rPr>
                <w:rFonts w:cs="宋体"/>
                <w:bCs/>
                <w:kern w:val="0"/>
                <w:sz w:val="18"/>
                <w:szCs w:val="18"/>
              </w:rPr>
            </w:pPr>
            <w:r>
              <w:rPr>
                <w:rFonts w:hint="eastAsia" w:cs="宋体"/>
                <w:bCs/>
                <w:kern w:val="0"/>
                <w:sz w:val="18"/>
                <w:szCs w:val="18"/>
              </w:rPr>
              <w:t>学位授予门类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10" w:type="dxa"/>
            <w:tcBorders>
              <w:top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1</w:t>
            </w:r>
          </w:p>
        </w:tc>
        <w:tc>
          <w:tcPr>
            <w:tcW w:w="1849" w:type="dxa"/>
            <w:vMerge w:val="restart"/>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光电科学学院</w:t>
            </w:r>
          </w:p>
        </w:tc>
        <w:tc>
          <w:tcPr>
            <w:tcW w:w="2227" w:type="dxa"/>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电子科学与技术</w:t>
            </w:r>
          </w:p>
        </w:tc>
        <w:tc>
          <w:tcPr>
            <w:tcW w:w="992" w:type="dxa"/>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10" w:type="dxa"/>
            <w:tcBorders>
              <w:top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w:t>
            </w:r>
          </w:p>
        </w:tc>
        <w:tc>
          <w:tcPr>
            <w:tcW w:w="1849" w:type="dxa"/>
            <w:vMerge w:val="continue"/>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新能源科学与工程</w:t>
            </w:r>
          </w:p>
        </w:tc>
        <w:tc>
          <w:tcPr>
            <w:tcW w:w="992" w:type="dxa"/>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10" w:type="dxa"/>
            <w:tcBorders>
              <w:top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3</w:t>
            </w:r>
          </w:p>
        </w:tc>
        <w:tc>
          <w:tcPr>
            <w:tcW w:w="1849" w:type="dxa"/>
            <w:vMerge w:val="continue"/>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光源与照明</w:t>
            </w:r>
          </w:p>
        </w:tc>
        <w:tc>
          <w:tcPr>
            <w:tcW w:w="992" w:type="dxa"/>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工学 </w:t>
            </w:r>
          </w:p>
        </w:tc>
        <w:tc>
          <w:tcPr>
            <w:tcW w:w="1418" w:type="dxa"/>
            <w:tcBorders>
              <w:top w:val="single" w:color="auto" w:sz="4" w:space="0"/>
              <w:lef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restart"/>
            <w:tcBorders>
              <w:top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4</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光电信息科学与工程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10" w:type="dxa"/>
            <w:vMerge w:val="continue"/>
            <w:tcBorders>
              <w:bottom w:val="single" w:color="auto" w:sz="4" w:space="0"/>
              <w:right w:val="single" w:color="auto" w:sz="4" w:space="0"/>
            </w:tcBorders>
            <w:vAlign w:val="center"/>
          </w:tcPr>
          <w:p>
            <w:pPr>
              <w:jc w:val="center"/>
              <w:rPr>
                <w:rFonts w:ascii="楷体_GB2312" w:eastAsia="楷体_GB2312" w:cs="宋体"/>
                <w:kern w:val="0"/>
                <w:sz w:val="18"/>
                <w:szCs w:val="18"/>
              </w:rPr>
            </w:pPr>
          </w:p>
        </w:tc>
        <w:tc>
          <w:tcPr>
            <w:tcW w:w="1849" w:type="dxa"/>
            <w:vMerge w:val="restart"/>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光电工程学院</w:t>
            </w: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光电信息科学与工程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5</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测控技术与仪器</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6</w:t>
            </w:r>
          </w:p>
        </w:tc>
        <w:tc>
          <w:tcPr>
            <w:tcW w:w="1849" w:type="dxa"/>
            <w:vMerge w:val="continue"/>
            <w:tcBorders>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智能感知工程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7</w:t>
            </w:r>
          </w:p>
        </w:tc>
        <w:tc>
          <w:tcPr>
            <w:tcW w:w="1849" w:type="dxa"/>
            <w:vMerge w:val="restart"/>
            <w:tcBorders>
              <w:top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电子工程学院</w:t>
            </w: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电子信息工程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8</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通信工程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9</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电子信息科学与技术</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10</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广播电视工程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11</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自动化</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12</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电气工程及其自动化</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13</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轨道交通信号与控制</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14</w:t>
            </w:r>
          </w:p>
        </w:tc>
        <w:tc>
          <w:tcPr>
            <w:tcW w:w="1849" w:type="dxa"/>
            <w:vMerge w:val="restart"/>
            <w:tcBorders>
              <w:top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信息工程学院</w:t>
            </w: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计算机科学与技术</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15</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软件工程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16</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物联网工程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17</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18</w:t>
            </w:r>
          </w:p>
        </w:tc>
        <w:tc>
          <w:tcPr>
            <w:tcW w:w="1849" w:type="dxa"/>
            <w:vMerge w:val="continue"/>
            <w:tcBorders>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数据科学与大数据技术</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19</w:t>
            </w:r>
          </w:p>
        </w:tc>
        <w:tc>
          <w:tcPr>
            <w:tcW w:w="1849" w:type="dxa"/>
            <w:vMerge w:val="restart"/>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机电工程学院</w:t>
            </w: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机械设计制造及其自动化</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20</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机械电子工程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w:t>
            </w:r>
            <w:r>
              <w:rPr>
                <w:rFonts w:ascii="楷体_GB2312" w:eastAsia="楷体_GB2312" w:cs="宋体"/>
                <w:kern w:val="0"/>
                <w:sz w:val="18"/>
                <w:szCs w:val="18"/>
              </w:rPr>
              <w:t>1</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飞行器动力工程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w:t>
            </w:r>
            <w:r>
              <w:rPr>
                <w:rFonts w:ascii="楷体_GB2312" w:eastAsia="楷体_GB2312" w:cs="宋体"/>
                <w:kern w:val="0"/>
                <w:sz w:val="18"/>
                <w:szCs w:val="18"/>
              </w:rPr>
              <w:t>2</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智能制造工程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23</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交通运输</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24</w:t>
            </w:r>
          </w:p>
        </w:tc>
        <w:tc>
          <w:tcPr>
            <w:tcW w:w="1849" w:type="dxa"/>
            <w:vMerge w:val="continue"/>
            <w:tcBorders>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机器人工程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25</w:t>
            </w:r>
          </w:p>
        </w:tc>
        <w:tc>
          <w:tcPr>
            <w:tcW w:w="1849" w:type="dxa"/>
            <w:vMerge w:val="restart"/>
            <w:tcBorders>
              <w:top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商学院</w:t>
            </w: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国际经济与贸易</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jc w:val="center"/>
              <w:rPr>
                <w:rFonts w:ascii="楷体_GB2312" w:eastAsia="楷体_GB2312" w:cs="宋体"/>
                <w:kern w:val="0"/>
                <w:sz w:val="18"/>
                <w:szCs w:val="18"/>
              </w:rPr>
            </w:pPr>
            <w:r>
              <w:rPr>
                <w:rFonts w:hint="eastAsia" w:ascii="楷体_GB2312" w:eastAsia="楷体_GB2312" w:cs="宋体"/>
                <w:kern w:val="0"/>
                <w:sz w:val="18"/>
                <w:szCs w:val="18"/>
              </w:rPr>
              <w:t>26</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市场营销</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管理学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27</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会计学</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管理学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28</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u w:val="single"/>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物流管理</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管理学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29</w:t>
            </w:r>
          </w:p>
        </w:tc>
        <w:tc>
          <w:tcPr>
            <w:tcW w:w="1849" w:type="dxa"/>
            <w:vMerge w:val="continue"/>
            <w:tcBorders>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u w:val="single"/>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数字经济</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30</w:t>
            </w:r>
          </w:p>
        </w:tc>
        <w:tc>
          <w:tcPr>
            <w:tcW w:w="1849" w:type="dxa"/>
            <w:vMerge w:val="restart"/>
            <w:tcBorders>
              <w:top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文化传媒学院</w:t>
            </w: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英语</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31</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汉语言文学</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32</w:t>
            </w:r>
          </w:p>
        </w:tc>
        <w:tc>
          <w:tcPr>
            <w:tcW w:w="1849" w:type="dxa"/>
            <w:vMerge w:val="continue"/>
            <w:tcBorders>
              <w:right w:val="single" w:color="auto" w:sz="4" w:space="0"/>
            </w:tcBorders>
            <w:vAlign w:val="center"/>
          </w:tcPr>
          <w:p>
            <w:pPr>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汉语国际教育</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33</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视觉传达设计</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34</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环境设计</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35</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广告学</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36</w:t>
            </w:r>
          </w:p>
        </w:tc>
        <w:tc>
          <w:tcPr>
            <w:tcW w:w="1849" w:type="dxa"/>
            <w:vMerge w:val="continue"/>
            <w:tcBorders>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服装设计与工程</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10" w:type="dxa"/>
            <w:tcBorders>
              <w:top w:val="single" w:color="auto" w:sz="4" w:space="0"/>
              <w:bottom w:val="single" w:color="auto" w:sz="4" w:space="0"/>
              <w:right w:val="single" w:color="auto" w:sz="4" w:space="0"/>
            </w:tcBorders>
            <w:vAlign w:val="center"/>
          </w:tcPr>
          <w:p>
            <w:pPr>
              <w:widowControl/>
              <w:jc w:val="center"/>
              <w:rPr>
                <w:rFonts w:ascii="楷体_GB2312" w:eastAsia="楷体_GB2312" w:cs="宋体"/>
                <w:kern w:val="0"/>
                <w:sz w:val="18"/>
                <w:szCs w:val="18"/>
              </w:rPr>
            </w:pPr>
            <w:r>
              <w:rPr>
                <w:rFonts w:hint="eastAsia" w:ascii="楷体_GB2312" w:eastAsia="楷体_GB2312" w:cs="宋体"/>
                <w:kern w:val="0"/>
                <w:sz w:val="18"/>
                <w:szCs w:val="18"/>
              </w:rPr>
              <w:t>3</w:t>
            </w:r>
            <w:r>
              <w:rPr>
                <w:rFonts w:ascii="楷体_GB2312" w:eastAsia="楷体_GB2312" w:cs="宋体"/>
                <w:kern w:val="0"/>
                <w:sz w:val="18"/>
                <w:szCs w:val="18"/>
              </w:rPr>
              <w:t>7</w:t>
            </w:r>
          </w:p>
        </w:tc>
        <w:tc>
          <w:tcPr>
            <w:tcW w:w="1849" w:type="dxa"/>
            <w:vMerge w:val="continue"/>
            <w:tcBorders>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2227" w:type="dxa"/>
            <w:tcBorders>
              <w:top w:val="single" w:color="auto" w:sz="4" w:space="0"/>
              <w:bottom w:val="single" w:color="auto" w:sz="4" w:space="0"/>
              <w:right w:val="single" w:color="auto" w:sz="4" w:space="0"/>
            </w:tcBorders>
            <w:vAlign w:val="center"/>
          </w:tcPr>
          <w:p>
            <w:pPr>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服装与服饰设计</w:t>
            </w:r>
          </w:p>
        </w:tc>
        <w:tc>
          <w:tcPr>
            <w:tcW w:w="992" w:type="dxa"/>
            <w:tcBorders>
              <w:top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c>
          <w:tcPr>
            <w:tcW w:w="1418" w:type="dxa"/>
            <w:tcBorders>
              <w:top w:val="single" w:color="auto" w:sz="4" w:space="0"/>
              <w:left w:val="single" w:color="auto" w:sz="4" w:space="0"/>
              <w:bottom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艺术学</w:t>
            </w:r>
          </w:p>
        </w:tc>
      </w:tr>
    </w:tbl>
    <w:p>
      <w:pPr>
        <w:spacing w:line="400" w:lineRule="exact"/>
        <w:rPr>
          <w:sz w:val="24"/>
        </w:rPr>
      </w:pPr>
    </w:p>
    <w:p>
      <w:pPr>
        <w:pStyle w:val="4"/>
        <w:keepNext w:val="0"/>
        <w:keepLines w:val="0"/>
        <w:spacing w:before="0" w:after="0" w:line="240" w:lineRule="auto"/>
        <w:rPr>
          <w:b w:val="0"/>
          <w:bCs/>
          <w:sz w:val="28"/>
          <w:szCs w:val="28"/>
        </w:rPr>
      </w:pPr>
      <w:bookmarkStart w:id="18" w:name="_Toc26724_WPSOffice_Level2"/>
      <w:bookmarkStart w:id="19" w:name="_Toc29346_WPSOffice_Level2"/>
      <w:bookmarkStart w:id="20" w:name="_Toc5406_WPSOffice_Level2"/>
      <w:bookmarkStart w:id="21" w:name="_Toc24281"/>
      <w:r>
        <w:rPr>
          <w:rFonts w:hint="eastAsia"/>
          <w:b w:val="0"/>
          <w:bCs/>
          <w:sz w:val="28"/>
          <w:szCs w:val="28"/>
        </w:rPr>
        <w:t>（三）在校生情况</w:t>
      </w:r>
      <w:bookmarkEnd w:id="18"/>
      <w:bookmarkEnd w:id="19"/>
      <w:bookmarkEnd w:id="20"/>
      <w:r>
        <w:rPr>
          <w:rFonts w:hint="eastAsia"/>
          <w:b w:val="0"/>
          <w:bCs/>
          <w:sz w:val="28"/>
          <w:szCs w:val="28"/>
        </w:rPr>
        <w:t>及生源质量</w:t>
      </w:r>
      <w:bookmarkEnd w:id="21"/>
    </w:p>
    <w:p>
      <w:pPr>
        <w:widowControl/>
        <w:spacing w:line="400" w:lineRule="exact"/>
        <w:ind w:firstLine="480" w:firstLineChars="200"/>
        <w:rPr>
          <w:rFonts w:ascii="宋体" w:hAnsi="宋体" w:cs="仿宋"/>
          <w:sz w:val="24"/>
          <w:szCs w:val="24"/>
        </w:rPr>
      </w:pPr>
      <w:r>
        <w:rPr>
          <w:rFonts w:hint="eastAsia" w:ascii="宋体" w:hAnsi="宋体" w:cs="仿宋"/>
          <w:sz w:val="24"/>
          <w:szCs w:val="24"/>
        </w:rPr>
        <w:t>学</w:t>
      </w:r>
      <w:r>
        <w:rPr>
          <w:rFonts w:ascii="宋体" w:hAnsi="宋体" w:cs="仿宋"/>
          <w:sz w:val="24"/>
          <w:szCs w:val="24"/>
        </w:rPr>
        <w:t>校</w:t>
      </w:r>
      <w:r>
        <w:rPr>
          <w:rFonts w:hint="eastAsia" w:ascii="宋体" w:hAnsi="宋体" w:cs="仿宋"/>
          <w:sz w:val="24"/>
          <w:szCs w:val="24"/>
        </w:rPr>
        <w:t>实行普通高校全日制本科教育，在校全日制本科生1</w:t>
      </w:r>
      <w:r>
        <w:rPr>
          <w:rFonts w:ascii="宋体" w:hAnsi="宋体" w:cs="仿宋"/>
          <w:sz w:val="24"/>
          <w:szCs w:val="24"/>
        </w:rPr>
        <w:t>1369</w:t>
      </w:r>
      <w:r>
        <w:rPr>
          <w:rFonts w:hint="eastAsia" w:ascii="宋体" w:hAnsi="宋体" w:cs="仿宋"/>
          <w:sz w:val="24"/>
          <w:szCs w:val="24"/>
        </w:rPr>
        <w:t>人，本科生占全日制本科生比例为100%。</w:t>
      </w:r>
    </w:p>
    <w:p>
      <w:pPr>
        <w:widowControl/>
        <w:spacing w:line="400" w:lineRule="exact"/>
        <w:ind w:firstLine="480" w:firstLineChars="200"/>
        <w:rPr>
          <w:rFonts w:ascii="宋体" w:hAnsi="宋体" w:cs="仿宋"/>
          <w:sz w:val="24"/>
          <w:szCs w:val="24"/>
        </w:rPr>
      </w:pPr>
      <w:r>
        <w:rPr>
          <w:rFonts w:hint="eastAsia" w:ascii="宋体" w:hAnsi="宋体" w:cs="仿宋"/>
          <w:sz w:val="24"/>
          <w:szCs w:val="24"/>
        </w:rPr>
        <w:t>本年度我校于全国27个省市自治区开展招生录取工作，本科生计划招生3014人，同比2021年增加招生计划80人。2022年录取3014人，录取率达到100%。本科新生报到2833人，报到率达到94%。</w:t>
      </w:r>
    </w:p>
    <w:p>
      <w:pPr>
        <w:widowControl/>
        <w:spacing w:line="400" w:lineRule="exact"/>
        <w:ind w:firstLine="480" w:firstLineChars="200"/>
        <w:rPr>
          <w:rFonts w:ascii="宋体" w:hAnsi="宋体" w:cs="仿宋"/>
          <w:sz w:val="24"/>
          <w:szCs w:val="24"/>
        </w:rPr>
      </w:pPr>
      <w:r>
        <w:rPr>
          <w:rFonts w:hint="eastAsia" w:ascii="宋体" w:hAnsi="宋体" w:cs="仿宋"/>
          <w:sz w:val="24"/>
          <w:szCs w:val="24"/>
        </w:rPr>
        <w:t>吉林省生源质量较上一年度有所提升，理工类专业录取分数线高于省控线11分，文史类专业最低录取分数线高于省控线36分。我校本年度在吉林省招生计划数有所增长，但文理科录取最低位次有所提高，在吉林省民办高校中排在中游水平。</w:t>
      </w:r>
    </w:p>
    <w:p>
      <w:pPr>
        <w:widowControl/>
        <w:spacing w:line="400" w:lineRule="exact"/>
        <w:ind w:firstLine="480" w:firstLineChars="200"/>
        <w:rPr>
          <w:rFonts w:ascii="宋体" w:hAnsi="宋体" w:cs="仿宋"/>
          <w:sz w:val="24"/>
          <w:szCs w:val="24"/>
        </w:rPr>
      </w:pPr>
      <w:r>
        <w:rPr>
          <w:rFonts w:hint="eastAsia" w:ascii="宋体" w:hAnsi="宋体" w:cs="仿宋"/>
          <w:sz w:val="24"/>
          <w:szCs w:val="24"/>
        </w:rPr>
        <w:t>省外招生录取情况，我校2022年一次录满省份15个，一次征集录满省份5个，二次征集录满省份3个，降分征集录满省份2个，计划调整录满省份2个。外省整体招生录取情况较上一年度有所提升，降分征集省份减少，生源质量较上一年度提升很大。</w:t>
      </w:r>
    </w:p>
    <w:p>
      <w:pPr>
        <w:widowControl/>
        <w:spacing w:line="400" w:lineRule="exact"/>
        <w:ind w:firstLine="480" w:firstLineChars="200"/>
        <w:rPr>
          <w:rFonts w:ascii="宋体" w:hAnsi="宋体" w:cs="仿宋"/>
          <w:sz w:val="24"/>
          <w:szCs w:val="24"/>
        </w:rPr>
      </w:pPr>
      <w:r>
        <w:rPr>
          <w:rFonts w:hint="eastAsia" w:ascii="宋体" w:hAnsi="宋体" w:cs="仿宋"/>
          <w:sz w:val="24"/>
          <w:szCs w:val="24"/>
        </w:rPr>
        <w:t>2022年，我校在全国各省市自治区招生情况圆满完成，各省生源质量均较上一年度有所提升，在省内民办高校中可排在中等水平。下一年度招生重点工作仍要在完成录取100%的同时，提高我校在各省的生源质量，提高优质生源的报到率。</w:t>
      </w:r>
    </w:p>
    <w:p>
      <w:pPr>
        <w:pStyle w:val="3"/>
        <w:spacing w:before="0" w:after="0" w:line="240" w:lineRule="auto"/>
        <w:jc w:val="left"/>
        <w:rPr>
          <w:b w:val="0"/>
          <w:bCs/>
          <w:sz w:val="30"/>
          <w:szCs w:val="30"/>
        </w:rPr>
      </w:pPr>
      <w:bookmarkStart w:id="22" w:name="_Toc9097_WPSOffice_Level1"/>
      <w:bookmarkStart w:id="23" w:name="_Toc28044_WPSOffice_Level1"/>
      <w:bookmarkStart w:id="24" w:name="_Toc22381_WPSOffice_Level1"/>
      <w:bookmarkStart w:id="25" w:name="_Toc23732"/>
      <w:r>
        <w:rPr>
          <w:rFonts w:hint="eastAsia" w:ascii="黑体" w:hAnsi="黑体" w:eastAsia="黑体" w:cs="黑体"/>
          <w:b w:val="0"/>
          <w:bCs/>
          <w:sz w:val="30"/>
          <w:szCs w:val="30"/>
        </w:rPr>
        <w:t>三、师资与教学条件</w:t>
      </w:r>
      <w:bookmarkEnd w:id="22"/>
      <w:bookmarkEnd w:id="23"/>
      <w:bookmarkEnd w:id="24"/>
      <w:bookmarkEnd w:id="25"/>
    </w:p>
    <w:p>
      <w:pPr>
        <w:spacing w:line="400" w:lineRule="exact"/>
        <w:ind w:firstLine="480" w:firstLineChars="200"/>
        <w:rPr>
          <w:rFonts w:ascii="宋体" w:hAnsi="宋体" w:cs="仿宋"/>
          <w:sz w:val="24"/>
          <w:szCs w:val="24"/>
        </w:rPr>
      </w:pPr>
      <w:r>
        <w:rPr>
          <w:rFonts w:hint="eastAsia" w:ascii="宋体" w:hAnsi="宋体" w:cs="仿宋"/>
          <w:sz w:val="24"/>
          <w:szCs w:val="24"/>
        </w:rPr>
        <w:t>学</w:t>
      </w:r>
      <w:r>
        <w:rPr>
          <w:rFonts w:ascii="宋体" w:hAnsi="宋体" w:cs="仿宋"/>
          <w:sz w:val="24"/>
          <w:szCs w:val="24"/>
        </w:rPr>
        <w:t>校</w:t>
      </w:r>
      <w:r>
        <w:rPr>
          <w:rFonts w:hint="eastAsia" w:ascii="宋体" w:hAnsi="宋体" w:cs="仿宋"/>
          <w:sz w:val="24"/>
          <w:szCs w:val="24"/>
        </w:rPr>
        <w:t>一直坚持“人才兴校”战略，以队伍结构的优化为基础、以教学团队建设为关键，进一步完善师资队伍培养和引进体系，形成了一支师德高尚，学风扎实，基础深厚，突出自身特色发展，富有奉献与合作精神的教师队伍。</w:t>
      </w:r>
    </w:p>
    <w:p>
      <w:pPr>
        <w:pStyle w:val="4"/>
        <w:spacing w:before="0" w:after="0" w:line="240" w:lineRule="auto"/>
        <w:rPr>
          <w:b w:val="0"/>
          <w:bCs/>
          <w:sz w:val="28"/>
          <w:szCs w:val="28"/>
        </w:rPr>
      </w:pPr>
      <w:bookmarkStart w:id="26" w:name="_Toc19416"/>
      <w:bookmarkStart w:id="27" w:name="_Toc5233_WPSOffice_Level2"/>
      <w:bookmarkStart w:id="28" w:name="_Toc13422_WPSOffice_Level2"/>
      <w:bookmarkStart w:id="29" w:name="_Toc28834_WPSOffice_Level2"/>
      <w:r>
        <w:rPr>
          <w:rFonts w:hint="eastAsia"/>
          <w:b w:val="0"/>
          <w:bCs/>
          <w:sz w:val="28"/>
          <w:szCs w:val="28"/>
        </w:rPr>
        <w:t>（一）数量与结构</w:t>
      </w:r>
      <w:bookmarkEnd w:id="26"/>
      <w:bookmarkEnd w:id="27"/>
      <w:bookmarkEnd w:id="28"/>
      <w:bookmarkEnd w:id="29"/>
    </w:p>
    <w:p>
      <w:pPr>
        <w:spacing w:line="400" w:lineRule="exact"/>
        <w:ind w:firstLine="480" w:firstLineChars="200"/>
      </w:pPr>
      <w:r>
        <w:rPr>
          <w:rFonts w:hint="eastAsia" w:ascii="宋体" w:hAnsi="宋体" w:cs="仿宋"/>
          <w:sz w:val="24"/>
          <w:szCs w:val="24"/>
        </w:rPr>
        <w:t>学校现有教职工611</w:t>
      </w:r>
      <w:r>
        <w:rPr>
          <w:rFonts w:ascii="宋体" w:hAnsi="宋体" w:cs="仿宋"/>
          <w:sz w:val="24"/>
          <w:szCs w:val="24"/>
        </w:rPr>
        <w:t>人，</w:t>
      </w:r>
      <w:r>
        <w:rPr>
          <w:rFonts w:hint="eastAsia" w:ascii="宋体" w:hAnsi="宋体" w:cs="仿宋"/>
          <w:sz w:val="24"/>
          <w:szCs w:val="24"/>
        </w:rPr>
        <w:t>其中，专任教师494人；另有兼职教师177人（2年以上外聘教师99人）；在校生数11369人，生师比约为18：1。</w:t>
      </w:r>
    </w:p>
    <w:p>
      <w:pPr>
        <w:spacing w:line="400" w:lineRule="exact"/>
        <w:ind w:firstLine="480" w:firstLineChars="200"/>
        <w:rPr>
          <w:rFonts w:ascii="宋体" w:hAnsi="宋体" w:cs="仿宋"/>
          <w:sz w:val="24"/>
          <w:szCs w:val="24"/>
        </w:rPr>
      </w:pPr>
      <w:bookmarkStart w:id="30" w:name="_Toc27600_WPSOffice_Level3"/>
      <w:bookmarkStart w:id="31" w:name="_Toc11454_WPSOffice_Level3"/>
      <w:bookmarkStart w:id="32" w:name="_Toc8357_WPSOffice_Level3"/>
      <w:bookmarkStart w:id="33" w:name="_Toc12557_WPSOffice_Level3"/>
      <w:bookmarkStart w:id="34" w:name="_Toc21080_WPSOffice_Level3"/>
      <w:bookmarkStart w:id="35" w:name="_Toc27442_WPSOffice_Level3"/>
      <w:r>
        <w:rPr>
          <w:rFonts w:hint="eastAsia" w:ascii="宋体" w:hAnsi="宋体" w:cs="仿宋"/>
          <w:sz w:val="24"/>
          <w:szCs w:val="24"/>
        </w:rPr>
        <w:t>1.专任教师学历结构</w:t>
      </w:r>
      <w:bookmarkEnd w:id="30"/>
      <w:bookmarkEnd w:id="31"/>
      <w:bookmarkEnd w:id="32"/>
    </w:p>
    <w:p>
      <w:pPr>
        <w:spacing w:line="400" w:lineRule="exact"/>
        <w:ind w:firstLine="480" w:firstLineChars="200"/>
        <w:rPr>
          <w:rFonts w:ascii="宋体" w:hAnsi="宋体" w:cs="仿宋"/>
          <w:sz w:val="24"/>
          <w:szCs w:val="24"/>
        </w:rPr>
      </w:pPr>
      <w:r>
        <w:rPr>
          <w:rFonts w:hint="eastAsia" w:ascii="宋体" w:hAnsi="宋体" w:cs="仿宋"/>
          <w:sz w:val="24"/>
          <w:szCs w:val="24"/>
        </w:rPr>
        <w:t>2021年，专任教师队伍中，具有博士学历的教师59人，占专任教师总数的11.94%，具有硕士学历的教师283人，占专任教师总数的57.29%，具有本科学历的教师152人，占专任教师总数的30.77%。</w:t>
      </w:r>
    </w:p>
    <w:bookmarkEnd w:id="33"/>
    <w:bookmarkEnd w:id="34"/>
    <w:bookmarkEnd w:id="35"/>
    <w:p>
      <w:pPr>
        <w:spacing w:line="400" w:lineRule="exact"/>
        <w:ind w:firstLine="480" w:firstLineChars="200"/>
        <w:rPr>
          <w:rFonts w:ascii="宋体" w:hAnsi="宋体" w:cs="仿宋"/>
          <w:sz w:val="24"/>
          <w:szCs w:val="24"/>
        </w:rPr>
      </w:pPr>
      <w:r>
        <w:rPr>
          <w:rFonts w:hint="eastAsia" w:ascii="宋体" w:hAnsi="宋体" w:cs="仿宋"/>
          <w:sz w:val="24"/>
          <w:szCs w:val="24"/>
        </w:rPr>
        <w:t>2.专任教师职称结构</w:t>
      </w:r>
    </w:p>
    <w:p>
      <w:pPr>
        <w:spacing w:line="400" w:lineRule="exact"/>
        <w:ind w:firstLine="480" w:firstLineChars="200"/>
        <w:rPr>
          <w:color w:val="FF0000"/>
        </w:rPr>
      </w:pPr>
      <w:r>
        <w:rPr>
          <w:rFonts w:hint="eastAsia" w:ascii="宋体" w:hAnsi="宋体" w:cs="仿宋"/>
          <w:sz w:val="24"/>
          <w:szCs w:val="24"/>
        </w:rPr>
        <w:t>2021年，专任教师队伍中，具有正高职称的80人，占专任教师总数的16.19%，具有副高职称的166人，占专任教师总数的33.6%，具有中级职称的教师158人，占专任教师总数的31.98%，具有初级职称的教师90人，占专任教师总数的18.22%，所有教师均具备主讲教师资格。全校开设本科课程总门数618门，教授讲授的本科课程占课程总门次数的10.84%</w:t>
      </w:r>
      <w:r>
        <w:rPr>
          <w:rFonts w:hint="eastAsia" w:ascii="宋体" w:hAnsi="宋体" w:cs="仿宋"/>
          <w:color w:val="FF0000"/>
          <w:sz w:val="24"/>
          <w:szCs w:val="24"/>
        </w:rPr>
        <w:t>，专任教师中主讲本科课程的教授</w:t>
      </w:r>
      <w:r>
        <w:rPr>
          <w:rFonts w:hint="eastAsia" w:ascii="宋体" w:hAnsi="宋体" w:cs="仿宋"/>
          <w:color w:val="FF0000"/>
          <w:sz w:val="24"/>
          <w:szCs w:val="24"/>
          <w:lang w:val="en-US" w:eastAsia="zh-CN"/>
        </w:rPr>
        <w:t>80</w:t>
      </w:r>
      <w:r>
        <w:rPr>
          <w:rFonts w:hint="eastAsia" w:ascii="宋体" w:hAnsi="宋体" w:cs="仿宋"/>
          <w:color w:val="FF0000"/>
          <w:sz w:val="24"/>
          <w:szCs w:val="24"/>
        </w:rPr>
        <w:t>人，占教授总数</w:t>
      </w:r>
      <w:r>
        <w:rPr>
          <w:rFonts w:hint="eastAsia" w:ascii="宋体" w:hAnsi="宋体" w:cs="仿宋"/>
          <w:color w:val="FF0000"/>
          <w:sz w:val="24"/>
          <w:szCs w:val="24"/>
          <w:lang w:val="en-US" w:eastAsia="zh-CN"/>
        </w:rPr>
        <w:t>100</w:t>
      </w:r>
      <w:r>
        <w:rPr>
          <w:rFonts w:hint="eastAsia" w:ascii="宋体" w:hAnsi="宋体" w:cs="仿宋"/>
          <w:color w:val="FF0000"/>
          <w:sz w:val="24"/>
          <w:szCs w:val="24"/>
        </w:rPr>
        <w:t>%。</w:t>
      </w:r>
    </w:p>
    <w:p>
      <w:pPr>
        <w:spacing w:line="400" w:lineRule="exact"/>
        <w:ind w:firstLine="480" w:firstLineChars="200"/>
        <w:rPr>
          <w:rFonts w:ascii="宋体" w:hAnsi="宋体" w:cs="仿宋"/>
          <w:sz w:val="24"/>
          <w:szCs w:val="24"/>
        </w:rPr>
      </w:pPr>
      <w:bookmarkStart w:id="36" w:name="_Toc26054_WPSOffice_Level3"/>
      <w:bookmarkStart w:id="37" w:name="_Toc12324_WPSOffice_Level3"/>
      <w:bookmarkStart w:id="38" w:name="_Toc8111_WPSOffice_Level3"/>
      <w:r>
        <w:rPr>
          <w:rFonts w:hint="eastAsia" w:ascii="宋体" w:hAnsi="宋体" w:cs="仿宋"/>
          <w:sz w:val="24"/>
          <w:szCs w:val="24"/>
        </w:rPr>
        <w:t>3.专任教师性别结构</w:t>
      </w:r>
      <w:bookmarkEnd w:id="36"/>
      <w:bookmarkEnd w:id="37"/>
      <w:bookmarkEnd w:id="38"/>
    </w:p>
    <w:p>
      <w:pPr>
        <w:spacing w:line="400" w:lineRule="exact"/>
        <w:ind w:firstLine="480" w:firstLineChars="200"/>
      </w:pPr>
      <w:r>
        <w:rPr>
          <w:rFonts w:hint="eastAsia" w:ascii="宋体" w:hAnsi="宋体" w:cs="仿宋"/>
          <w:sz w:val="24"/>
          <w:szCs w:val="24"/>
        </w:rPr>
        <w:t>2021年，专任教师队伍中，</w:t>
      </w:r>
      <w:r>
        <w:rPr>
          <w:rFonts w:hint="eastAsia"/>
        </w:rPr>
        <w:t>女教师293人，</w:t>
      </w:r>
      <w:r>
        <w:rPr>
          <w:rFonts w:hint="eastAsia" w:ascii="宋体" w:hAnsi="宋体" w:cs="仿宋"/>
          <w:sz w:val="24"/>
          <w:szCs w:val="24"/>
        </w:rPr>
        <w:t>占专任教师总数的59.31%</w:t>
      </w:r>
      <w:r>
        <w:rPr>
          <w:rFonts w:hint="eastAsia"/>
        </w:rPr>
        <w:t>，男教师201人，</w:t>
      </w:r>
      <w:r>
        <w:rPr>
          <w:rFonts w:hint="eastAsia" w:ascii="宋体" w:hAnsi="宋体" w:cs="仿宋"/>
          <w:sz w:val="24"/>
          <w:szCs w:val="24"/>
        </w:rPr>
        <w:t>占专任教师总数的40.69%</w:t>
      </w:r>
      <w:r>
        <w:rPr>
          <w:rFonts w:hint="eastAsia"/>
        </w:rPr>
        <w:t>。</w:t>
      </w:r>
    </w:p>
    <w:p>
      <w:pPr>
        <w:rPr>
          <w:rFonts w:ascii="宋体" w:hAnsi="宋体" w:cs="仿宋"/>
          <w:szCs w:val="21"/>
          <w:highlight w:val="yellow"/>
        </w:rPr>
      </w:pPr>
    </w:p>
    <w:p>
      <w:pPr>
        <w:pStyle w:val="4"/>
        <w:spacing w:before="0" w:after="0" w:line="240" w:lineRule="auto"/>
        <w:rPr>
          <w:rFonts w:ascii="宋体" w:hAnsi="宋体" w:cs="宋体"/>
          <w:sz w:val="24"/>
        </w:rPr>
      </w:pPr>
      <w:bookmarkStart w:id="39" w:name="_Toc3076_WPSOffice_Level2"/>
      <w:bookmarkStart w:id="40" w:name="_Toc27057_WPSOffice_Level2"/>
      <w:bookmarkStart w:id="41" w:name="_Toc15683_WPSOffice_Level2"/>
      <w:bookmarkStart w:id="42" w:name="_Toc13245"/>
      <w:r>
        <w:rPr>
          <w:rFonts w:hint="eastAsia"/>
          <w:b w:val="0"/>
          <w:bCs/>
          <w:sz w:val="28"/>
          <w:szCs w:val="28"/>
        </w:rPr>
        <w:t>（二）教师培训与发展情况</w:t>
      </w:r>
      <w:bookmarkEnd w:id="39"/>
      <w:bookmarkEnd w:id="40"/>
      <w:bookmarkEnd w:id="41"/>
      <w:bookmarkEnd w:id="42"/>
    </w:p>
    <w:p>
      <w:pPr>
        <w:spacing w:line="400" w:lineRule="exact"/>
        <w:ind w:firstLine="480" w:firstLineChars="200"/>
        <w:rPr>
          <w:rFonts w:ascii="宋体" w:hAnsi="宋体" w:cs="宋体"/>
          <w:sz w:val="24"/>
        </w:rPr>
      </w:pPr>
      <w:r>
        <w:rPr>
          <w:rFonts w:hint="eastAsia" w:ascii="宋体" w:hAnsi="宋体" w:cs="宋体"/>
          <w:sz w:val="24"/>
        </w:rPr>
        <w:t>1.对教师全方位培训</w:t>
      </w:r>
    </w:p>
    <w:p>
      <w:pPr>
        <w:spacing w:line="400" w:lineRule="exact"/>
        <w:ind w:firstLine="480" w:firstLineChars="200"/>
        <w:rPr>
          <w:rFonts w:ascii="宋体" w:hAnsi="宋体" w:cs="宋体"/>
          <w:sz w:val="24"/>
        </w:rPr>
      </w:pPr>
      <w:r>
        <w:rPr>
          <w:rFonts w:hint="eastAsia" w:ascii="宋体" w:hAnsi="宋体" w:cs="宋体"/>
          <w:sz w:val="24"/>
        </w:rPr>
        <w:t>我校</w:t>
      </w:r>
      <w:r>
        <w:rPr>
          <w:rFonts w:ascii="宋体" w:hAnsi="宋体" w:cs="宋体"/>
          <w:sz w:val="24"/>
        </w:rPr>
        <w:t>加大高层次人才引进培育工作力度</w:t>
      </w:r>
      <w:r>
        <w:rPr>
          <w:rFonts w:hint="eastAsia" w:ascii="宋体" w:hAnsi="宋体" w:cs="宋体"/>
          <w:sz w:val="24"/>
        </w:rPr>
        <w:t>，</w:t>
      </w:r>
      <w:r>
        <w:rPr>
          <w:rFonts w:ascii="宋体" w:hAnsi="宋体" w:cs="宋体"/>
          <w:sz w:val="24"/>
        </w:rPr>
        <w:t>鼓励专兼结合，校企双向流动</w:t>
      </w:r>
      <w:r>
        <w:rPr>
          <w:rFonts w:hint="eastAsia" w:ascii="宋体" w:hAnsi="宋体" w:cs="宋体"/>
          <w:sz w:val="24"/>
        </w:rPr>
        <w:t>，</w:t>
      </w:r>
      <w:r>
        <w:rPr>
          <w:rFonts w:ascii="宋体" w:hAnsi="宋体" w:cs="宋体"/>
          <w:sz w:val="24"/>
        </w:rPr>
        <w:t>注重在职培养，明确双师双能型导向和采取多元化评价</w:t>
      </w:r>
      <w:r>
        <w:rPr>
          <w:rFonts w:hint="eastAsia" w:ascii="宋体" w:hAnsi="宋体" w:cs="宋体"/>
          <w:sz w:val="24"/>
        </w:rPr>
        <w:t>。</w:t>
      </w:r>
      <w:r>
        <w:rPr>
          <w:rFonts w:ascii="宋体" w:hAnsi="宋体" w:cs="宋体"/>
          <w:sz w:val="24"/>
        </w:rPr>
        <w:t>充分发挥高层次人才引领作用和学科带头人指导作用，加速培养一批优秀的青年骨干教师快速成长，保持学科优势，形成科学合理的学术梯队，实现良性循环，使其成为实现学校战略发展的骨干力量。</w:t>
      </w:r>
    </w:p>
    <w:p>
      <w:pPr>
        <w:spacing w:line="400" w:lineRule="exact"/>
        <w:ind w:firstLine="480" w:firstLineChars="200"/>
        <w:rPr>
          <w:rFonts w:ascii="宋体" w:hAnsi="宋体" w:cs="宋体"/>
          <w:sz w:val="24"/>
        </w:rPr>
      </w:pPr>
      <w:r>
        <w:rPr>
          <w:rFonts w:hint="eastAsia" w:ascii="宋体" w:hAnsi="宋体" w:cs="宋体"/>
          <w:sz w:val="24"/>
        </w:rPr>
        <w:t>2021年，学校组织新教师入职培训、学术论文撰写和发表培训、教学理念及应用培训、教学资料设计培训、教学督导专员培训、课程创新培训、“双一流”建设培训、教师礼仪培训、教师科研能力提升系列讲座之数据量化分析能力提升、人工智能专题培训、新时代大学教师的历史使命及培养等多方面的培训项目，并邀请专家为我校开展线上培训。帮助教师提高专业技能，拓展教师视野，提升教学和科研水平。</w:t>
      </w:r>
    </w:p>
    <w:p>
      <w:pPr>
        <w:spacing w:line="400" w:lineRule="exact"/>
        <w:ind w:firstLine="480" w:firstLineChars="200"/>
        <w:rPr>
          <w:rFonts w:ascii="宋体" w:hAnsi="宋体" w:cs="宋体"/>
          <w:sz w:val="24"/>
        </w:rPr>
      </w:pPr>
      <w:r>
        <w:rPr>
          <w:rFonts w:hint="eastAsia" w:ascii="宋体" w:hAnsi="宋体" w:cs="宋体"/>
          <w:sz w:val="24"/>
        </w:rPr>
        <w:t>常规培训75次，培训人数达3360人次，每月全校教职工进行线上培训，培训时长每月约10小时/每人。派遣教师赴高校进行研修学习，赴企业进行实践学习，新增2位教师在职攻读博士学位。2021年我校对29位新教师进行岗前培训教育，并取得高等学校教师资格。</w:t>
      </w:r>
    </w:p>
    <w:p>
      <w:pPr>
        <w:spacing w:line="400" w:lineRule="exact"/>
        <w:ind w:firstLine="480" w:firstLineChars="200"/>
        <w:rPr>
          <w:rFonts w:ascii="宋体" w:hAnsi="宋体" w:cs="宋体"/>
          <w:sz w:val="24"/>
        </w:rPr>
      </w:pPr>
      <w:r>
        <w:rPr>
          <w:rFonts w:hint="eastAsia" w:ascii="宋体" w:hAnsi="宋体" w:cs="宋体"/>
          <w:sz w:val="24"/>
        </w:rPr>
        <w:t>2.教师发展</w:t>
      </w:r>
    </w:p>
    <w:p>
      <w:pPr>
        <w:spacing w:line="400" w:lineRule="exact"/>
        <w:ind w:firstLine="480" w:firstLineChars="200"/>
        <w:rPr>
          <w:rFonts w:ascii="宋体" w:hAnsi="宋体" w:cs="宋体"/>
          <w:sz w:val="24"/>
        </w:rPr>
      </w:pPr>
      <w:r>
        <w:rPr>
          <w:rFonts w:hint="eastAsia" w:ascii="宋体" w:hAnsi="宋体" w:cs="宋体"/>
          <w:sz w:val="24"/>
        </w:rPr>
        <w:t>在培训教师的同时我校积极引进高层次人才，带动青年教师水平综合能力的提升。有针对性的培育青年骨干教师成为拔尖人才。多渠道培养双师型教师，实现对教师的多元化评价。</w:t>
      </w:r>
    </w:p>
    <w:p>
      <w:pPr>
        <w:pStyle w:val="4"/>
        <w:spacing w:before="0" w:after="0" w:line="240" w:lineRule="auto"/>
        <w:rPr>
          <w:b w:val="0"/>
          <w:bCs/>
          <w:sz w:val="28"/>
          <w:szCs w:val="28"/>
        </w:rPr>
      </w:pPr>
      <w:bookmarkStart w:id="43" w:name="_Toc19916"/>
      <w:bookmarkStart w:id="44" w:name="_Toc27028_WPSOffice_Level2"/>
      <w:bookmarkStart w:id="45" w:name="_Toc11617_WPSOffice_Level2"/>
      <w:bookmarkStart w:id="46" w:name="_Toc15468_WPSOffice_Level2"/>
      <w:r>
        <w:rPr>
          <w:rFonts w:hint="eastAsia"/>
          <w:b w:val="0"/>
          <w:bCs/>
          <w:sz w:val="28"/>
          <w:szCs w:val="28"/>
        </w:rPr>
        <w:t>（三）教学经费投入</w:t>
      </w:r>
      <w:bookmarkEnd w:id="43"/>
      <w:bookmarkEnd w:id="44"/>
      <w:bookmarkEnd w:id="45"/>
      <w:bookmarkEnd w:id="46"/>
    </w:p>
    <w:p>
      <w:pPr>
        <w:widowControl/>
        <w:spacing w:line="400" w:lineRule="exact"/>
        <w:ind w:firstLine="480" w:firstLineChars="200"/>
        <w:rPr>
          <w:rFonts w:ascii="宋体" w:hAnsi="宋体" w:cs="仿宋"/>
          <w:bCs/>
          <w:sz w:val="24"/>
          <w:szCs w:val="24"/>
        </w:rPr>
      </w:pPr>
      <w:r>
        <w:rPr>
          <w:rFonts w:hint="eastAsia" w:ascii="宋体" w:hAnsi="宋体" w:cs="仿宋"/>
          <w:bCs/>
          <w:sz w:val="24"/>
          <w:szCs w:val="24"/>
        </w:rPr>
        <w:t>学校教育教学投入逐年增加，2021年</w:t>
      </w:r>
      <w:r>
        <w:rPr>
          <w:rFonts w:ascii="宋体" w:hAnsi="宋体" w:cs="仿宋"/>
          <w:bCs/>
          <w:sz w:val="24"/>
          <w:szCs w:val="24"/>
        </w:rPr>
        <w:t>度</w:t>
      </w:r>
      <w:r>
        <w:rPr>
          <w:rFonts w:hint="eastAsia" w:ascii="宋体" w:hAnsi="宋体" w:cs="仿宋"/>
          <w:bCs/>
          <w:sz w:val="24"/>
          <w:szCs w:val="24"/>
        </w:rPr>
        <w:t>，学</w:t>
      </w:r>
      <w:r>
        <w:rPr>
          <w:rFonts w:ascii="宋体" w:hAnsi="宋体" w:cs="仿宋"/>
          <w:bCs/>
          <w:sz w:val="24"/>
          <w:szCs w:val="24"/>
        </w:rPr>
        <w:t>校</w:t>
      </w:r>
      <w:r>
        <w:rPr>
          <w:rFonts w:hint="eastAsia" w:ascii="宋体" w:hAnsi="宋体" w:cs="仿宋"/>
          <w:bCs/>
          <w:sz w:val="24"/>
          <w:szCs w:val="24"/>
        </w:rPr>
        <w:t>本科教育教学经费投入共10897.46万</w:t>
      </w:r>
      <w:r>
        <w:rPr>
          <w:rFonts w:hint="eastAsia" w:ascii="宋体" w:hAnsi="宋体" w:cs="仿宋"/>
          <w:kern w:val="0"/>
          <w:sz w:val="24"/>
          <w:szCs w:val="24"/>
        </w:rPr>
        <w:t>元。</w:t>
      </w:r>
      <w:r>
        <w:rPr>
          <w:rFonts w:hint="eastAsia" w:ascii="宋体" w:hAnsi="宋体" w:cs="仿宋"/>
          <w:bCs/>
          <w:sz w:val="24"/>
          <w:szCs w:val="24"/>
        </w:rPr>
        <w:t>教学经费3297.86万元，其中，教学日常运行经费2906.02万元；教学改革经费11.33万元；实践教学经费147.77万元；专业建设经费155万元；学生活动经费23.16万元；教师培训进修专项经费54.58万元。</w:t>
      </w:r>
    </w:p>
    <w:p>
      <w:pPr>
        <w:pStyle w:val="4"/>
        <w:spacing w:before="0" w:after="0" w:line="240" w:lineRule="auto"/>
        <w:rPr>
          <w:b w:val="0"/>
          <w:bCs/>
          <w:sz w:val="28"/>
          <w:szCs w:val="28"/>
        </w:rPr>
      </w:pPr>
      <w:bookmarkStart w:id="47" w:name="_Toc1720_WPSOffice_Level2"/>
      <w:bookmarkStart w:id="48" w:name="_Toc30037"/>
      <w:bookmarkStart w:id="49" w:name="_Toc9678_WPSOffice_Level2"/>
      <w:bookmarkStart w:id="50" w:name="_Toc3461_WPSOffice_Level2"/>
      <w:r>
        <w:rPr>
          <w:rFonts w:hint="eastAsia"/>
          <w:b w:val="0"/>
          <w:bCs/>
          <w:sz w:val="28"/>
          <w:szCs w:val="28"/>
        </w:rPr>
        <w:t>（四）基础设施</w:t>
      </w:r>
      <w:bookmarkEnd w:id="47"/>
      <w:bookmarkEnd w:id="48"/>
      <w:bookmarkEnd w:id="49"/>
      <w:bookmarkEnd w:id="50"/>
    </w:p>
    <w:p>
      <w:pPr>
        <w:spacing w:line="400" w:lineRule="exact"/>
        <w:ind w:firstLine="480" w:firstLineChars="200"/>
        <w:rPr>
          <w:rFonts w:ascii="宋体" w:hAnsi="宋体" w:cs="仿宋"/>
          <w:bCs/>
          <w:sz w:val="24"/>
          <w:szCs w:val="24"/>
        </w:rPr>
      </w:pPr>
      <w:r>
        <w:rPr>
          <w:rFonts w:hint="eastAsia" w:ascii="宋体" w:hAnsi="宋体" w:cs="仿宋"/>
          <w:bCs/>
          <w:sz w:val="24"/>
          <w:szCs w:val="24"/>
        </w:rPr>
        <w:t>学</w:t>
      </w:r>
      <w:r>
        <w:rPr>
          <w:rFonts w:ascii="宋体" w:hAnsi="宋体" w:cs="仿宋"/>
          <w:bCs/>
          <w:sz w:val="24"/>
          <w:szCs w:val="24"/>
        </w:rPr>
        <w:t>校</w:t>
      </w:r>
      <w:r>
        <w:rPr>
          <w:rFonts w:hint="eastAsia" w:ascii="宋体" w:hAnsi="宋体" w:cs="仿宋"/>
          <w:bCs/>
          <w:sz w:val="24"/>
          <w:szCs w:val="24"/>
        </w:rPr>
        <w:t>校区总占地面积为501620</w:t>
      </w:r>
      <w:r>
        <w:rPr>
          <w:rFonts w:ascii="宋体" w:hAnsi="宋体" w:cs="仿宋"/>
          <w:bCs/>
          <w:sz w:val="24"/>
          <w:szCs w:val="24"/>
        </w:rPr>
        <w:t>.00</w:t>
      </w:r>
      <w:r>
        <w:rPr>
          <w:rFonts w:hint="eastAsia" w:ascii="宋体" w:hAnsi="宋体" w:cs="仿宋"/>
          <w:bCs/>
          <w:sz w:val="24"/>
          <w:szCs w:val="24"/>
        </w:rPr>
        <w:t>平方米</w:t>
      </w:r>
      <w:r>
        <w:rPr>
          <w:rFonts w:ascii="宋体" w:hAnsi="宋体" w:cs="仿宋"/>
          <w:bCs/>
          <w:sz w:val="24"/>
          <w:szCs w:val="24"/>
        </w:rPr>
        <w:t>，</w:t>
      </w:r>
      <w:r>
        <w:rPr>
          <w:rFonts w:hint="eastAsia" w:ascii="宋体" w:hAnsi="宋体" w:cs="仿宋"/>
          <w:bCs/>
          <w:sz w:val="24"/>
          <w:szCs w:val="24"/>
        </w:rPr>
        <w:t>总建筑面积2</w:t>
      </w:r>
      <w:r>
        <w:rPr>
          <w:rFonts w:ascii="宋体" w:hAnsi="宋体" w:cs="仿宋"/>
          <w:bCs/>
          <w:sz w:val="24"/>
          <w:szCs w:val="24"/>
        </w:rPr>
        <w:t>53663.85</w:t>
      </w:r>
      <w:r>
        <w:rPr>
          <w:rFonts w:hint="eastAsia" w:ascii="宋体" w:hAnsi="宋体" w:cs="仿宋"/>
          <w:bCs/>
          <w:sz w:val="24"/>
          <w:szCs w:val="24"/>
        </w:rPr>
        <w:t>平方米，其中，教学行政用房总面积为</w:t>
      </w:r>
      <w:r>
        <w:rPr>
          <w:rFonts w:ascii="宋体" w:hAnsi="宋体" w:cs="仿宋"/>
          <w:bCs/>
          <w:sz w:val="24"/>
          <w:szCs w:val="24"/>
        </w:rPr>
        <w:t>1</w:t>
      </w:r>
      <w:r>
        <w:rPr>
          <w:rFonts w:hint="eastAsia" w:ascii="宋体" w:hAnsi="宋体" w:cs="仿宋"/>
          <w:bCs/>
          <w:sz w:val="24"/>
          <w:szCs w:val="24"/>
        </w:rPr>
        <w:t>44727</w:t>
      </w:r>
      <w:r>
        <w:rPr>
          <w:rFonts w:ascii="宋体" w:hAnsi="宋体" w:cs="仿宋"/>
          <w:bCs/>
          <w:sz w:val="24"/>
          <w:szCs w:val="24"/>
        </w:rPr>
        <w:t>.</w:t>
      </w:r>
      <w:r>
        <w:rPr>
          <w:rFonts w:hint="eastAsia" w:ascii="宋体" w:hAnsi="宋体" w:cs="仿宋"/>
          <w:bCs/>
          <w:sz w:val="24"/>
          <w:szCs w:val="24"/>
        </w:rPr>
        <w:t>45平方米。办学条件良好，</w:t>
      </w:r>
      <w:r>
        <w:rPr>
          <w:rFonts w:ascii="宋体" w:hAnsi="宋体" w:cs="宋体"/>
          <w:kern w:val="0"/>
          <w:sz w:val="24"/>
          <w:szCs w:val="24"/>
        </w:rPr>
        <w:t>生活设施先进、便利</w:t>
      </w:r>
      <w:r>
        <w:rPr>
          <w:rFonts w:hint="eastAsia" w:ascii="宋体" w:hAnsi="宋体" w:cs="宋体"/>
          <w:kern w:val="0"/>
          <w:sz w:val="24"/>
          <w:szCs w:val="24"/>
        </w:rPr>
        <w:t>。</w:t>
      </w:r>
      <w:r>
        <w:rPr>
          <w:rFonts w:ascii="宋体" w:hAnsi="宋体" w:cs="宋体"/>
          <w:kern w:val="0"/>
          <w:sz w:val="24"/>
          <w:szCs w:val="24"/>
        </w:rPr>
        <w:t>广泛采用节能创新科技，实现了地源热泵空调系统调温、太阳能热水24小时供应、太阳能路灯照明、环保塑胶跑道、无线网络全校园覆盖等</w:t>
      </w:r>
      <w:r>
        <w:rPr>
          <w:rFonts w:hint="eastAsia" w:ascii="宋体" w:hAnsi="宋体" w:cs="仿宋"/>
          <w:bCs/>
          <w:sz w:val="24"/>
          <w:szCs w:val="24"/>
        </w:rPr>
        <w:t>。建有体育场、体育馆、篮排球专用场地、大学生活动中心、学术报告厅、校史馆、美术馆以及吉林省标准化学生公寓、大学生餐厅、浴池、洗衣房、美发厅、书屋、健身运动中心、超市、校医院等，为师生员工提供优质、便捷的学习、工作、生活服务。</w:t>
      </w:r>
    </w:p>
    <w:p>
      <w:pPr>
        <w:pStyle w:val="4"/>
        <w:spacing w:before="0" w:after="0" w:line="240" w:lineRule="auto"/>
        <w:rPr>
          <w:b w:val="0"/>
          <w:bCs/>
          <w:sz w:val="28"/>
          <w:szCs w:val="28"/>
        </w:rPr>
      </w:pPr>
      <w:bookmarkStart w:id="51" w:name="_Toc7368"/>
      <w:r>
        <w:rPr>
          <w:rFonts w:hint="eastAsia"/>
          <w:b w:val="0"/>
          <w:bCs/>
          <w:sz w:val="28"/>
          <w:szCs w:val="28"/>
        </w:rPr>
        <w:t>（五）仪器设备</w:t>
      </w:r>
      <w:bookmarkEnd w:id="51"/>
    </w:p>
    <w:p>
      <w:pPr>
        <w:spacing w:line="400" w:lineRule="exact"/>
        <w:ind w:firstLine="480" w:firstLineChars="200"/>
        <w:rPr>
          <w:rFonts w:ascii="宋体" w:hAnsi="宋体" w:cs="仿宋"/>
          <w:bCs/>
          <w:sz w:val="24"/>
          <w:szCs w:val="24"/>
        </w:rPr>
      </w:pPr>
      <w:r>
        <w:rPr>
          <w:rFonts w:hint="eastAsia" w:ascii="宋体" w:hAnsi="宋体" w:cs="仿宋"/>
          <w:bCs/>
          <w:sz w:val="24"/>
          <w:szCs w:val="24"/>
        </w:rPr>
        <w:t>我校目前共有实验室131个，实验室总面积41079.07平方米，实验仪器设备总价值达</w:t>
      </w:r>
      <w:r>
        <w:rPr>
          <w:rFonts w:ascii="宋体" w:hAnsi="宋体" w:cs="宋体"/>
          <w:sz w:val="24"/>
          <w:szCs w:val="24"/>
        </w:rPr>
        <w:t>9618.6</w:t>
      </w:r>
      <w:r>
        <w:rPr>
          <w:rFonts w:hint="eastAsia" w:ascii="宋体" w:hAnsi="宋体" w:cs="仿宋"/>
          <w:bCs/>
          <w:sz w:val="24"/>
          <w:szCs w:val="24"/>
        </w:rPr>
        <w:t>万元，其中，机械工程实验教学中心、电子信息与控制实验教学中心、光电工程实验教学中心为省级实验教学示范中心；校内实习实训基地7个，校外实习实训基地114个，为学生搭建提高实践创新能力培养平台。</w:t>
      </w:r>
    </w:p>
    <w:p>
      <w:pPr>
        <w:pStyle w:val="4"/>
        <w:spacing w:before="0" w:after="0" w:line="240" w:lineRule="auto"/>
        <w:rPr>
          <w:b w:val="0"/>
          <w:bCs/>
          <w:sz w:val="28"/>
          <w:szCs w:val="28"/>
        </w:rPr>
      </w:pPr>
      <w:bookmarkStart w:id="52" w:name="_Toc7763_WPSOffice_Level2"/>
      <w:bookmarkStart w:id="53" w:name="_Toc19741_WPSOffice_Level2"/>
      <w:bookmarkStart w:id="54" w:name="_Toc20906_WPSOffice_Level2"/>
      <w:bookmarkStart w:id="55" w:name="_Toc3767"/>
      <w:r>
        <w:rPr>
          <w:rFonts w:hint="eastAsia"/>
          <w:b w:val="0"/>
          <w:bCs/>
          <w:sz w:val="28"/>
          <w:szCs w:val="28"/>
        </w:rPr>
        <w:t>（六）图书与</w:t>
      </w:r>
      <w:bookmarkEnd w:id="52"/>
      <w:bookmarkEnd w:id="53"/>
      <w:bookmarkEnd w:id="54"/>
      <w:r>
        <w:rPr>
          <w:rFonts w:hint="eastAsia"/>
          <w:b w:val="0"/>
          <w:bCs/>
          <w:sz w:val="28"/>
          <w:szCs w:val="28"/>
        </w:rPr>
        <w:t>信息资源</w:t>
      </w:r>
      <w:bookmarkEnd w:id="55"/>
    </w:p>
    <w:p>
      <w:pPr>
        <w:tabs>
          <w:tab w:val="left" w:pos="368"/>
        </w:tabs>
        <w:spacing w:line="400" w:lineRule="exact"/>
        <w:ind w:firstLine="480" w:firstLineChars="200"/>
        <w:rPr>
          <w:rFonts w:ascii="宋体" w:hAnsi="宋体" w:cs="仿宋"/>
          <w:sz w:val="24"/>
          <w:szCs w:val="24"/>
        </w:rPr>
      </w:pPr>
      <w:r>
        <w:rPr>
          <w:rFonts w:hint="eastAsia" w:ascii="宋体" w:hAnsi="宋体" w:cs="仿宋"/>
          <w:sz w:val="24"/>
          <w:szCs w:val="24"/>
        </w:rPr>
        <w:t>我校图书馆馆舍面积2万平方米，馆藏资源丰富，采用全开放、大流通管理模式，全方位、24小时为教学科研服务。拥有纸质图书810140册，生均71.26册，当年新增图书299册，电子图书312987册及9个数据库。提供24小时自助还书服务，网络在线服务全天候开放，在校师生可以通过校园网访问图书馆各种数据库资源。馆内共设有六个藏阅一体的阅览空间，1336个阅览座位。每个空间的藏书各具学科专业特色，基本满足读者借阅需要。图书馆环境优美，同时具有公益性质的咖啡书香苑、锦绣茶苑、邦家书艺苑、新时代文明实践中心、艺术展廊、报告厅等场所，动静分离。自2016年10月新馆启用以来，逐渐成为学生每日必到的学习中心、学术中心、信息交流中心。</w:t>
      </w:r>
    </w:p>
    <w:p>
      <w:pPr>
        <w:tabs>
          <w:tab w:val="left" w:pos="368"/>
        </w:tabs>
        <w:spacing w:line="400" w:lineRule="exact"/>
        <w:ind w:firstLine="480" w:firstLineChars="200"/>
        <w:rPr>
          <w:rFonts w:ascii="宋体" w:hAnsi="宋体" w:cs="仿宋"/>
          <w:sz w:val="24"/>
          <w:szCs w:val="24"/>
        </w:rPr>
      </w:pPr>
      <w:r>
        <w:rPr>
          <w:rFonts w:hint="eastAsia" w:ascii="宋体" w:hAnsi="宋体" w:cs="仿宋"/>
          <w:sz w:val="24"/>
          <w:szCs w:val="24"/>
        </w:rPr>
        <w:t>学校校园网基础设施建设良好，建成千兆到楼宇、百兆到桌面、有线无线全覆盖，技术相对先进、高速且稳定的校园网络。网络核心采用千兆路由核心交换机，智慧校园建设从基础环境到终端应用总共有15个基础子系统，包括学校网站服务器、教务凌展管理系统、图书馆图书检索服务器、绩效考核服务器、一卡通管理系统、食堂无现金支付等，实现了办公管理、教务管理、图书管理、财务管理、后勤服务等智能化。学校自行开发了新生报到、财务收费、工资查询、我的校园等工作系统，极大地提高了办公效率和办公质量。通过这些系统建设的实施，进一步促进了我校管理的现代化、规范化和信息化，为实现网上办公、网上管理、网上服务打下了良好的基础。</w:t>
      </w:r>
    </w:p>
    <w:p>
      <w:pPr>
        <w:pStyle w:val="3"/>
        <w:spacing w:before="0" w:after="0" w:line="240" w:lineRule="auto"/>
        <w:jc w:val="left"/>
        <w:rPr>
          <w:rFonts w:ascii="黑体" w:hAnsi="黑体" w:eastAsia="黑体" w:cs="黑体"/>
          <w:b w:val="0"/>
          <w:bCs/>
          <w:sz w:val="30"/>
          <w:szCs w:val="30"/>
        </w:rPr>
      </w:pPr>
      <w:bookmarkStart w:id="56" w:name="_Toc27285_WPSOffice_Level1"/>
      <w:bookmarkStart w:id="57" w:name="_Toc18049_WPSOffice_Level1"/>
      <w:bookmarkStart w:id="58" w:name="_Toc23164_WPSOffice_Level1"/>
      <w:bookmarkStart w:id="59" w:name="_Toc30920"/>
      <w:r>
        <w:rPr>
          <w:rFonts w:hint="eastAsia" w:ascii="黑体" w:hAnsi="黑体" w:eastAsia="黑体" w:cs="黑体"/>
          <w:b w:val="0"/>
          <w:bCs/>
          <w:sz w:val="30"/>
          <w:szCs w:val="30"/>
        </w:rPr>
        <w:t>四、教学建设与改革</w:t>
      </w:r>
      <w:bookmarkEnd w:id="56"/>
      <w:bookmarkEnd w:id="57"/>
      <w:bookmarkEnd w:id="58"/>
      <w:bookmarkEnd w:id="59"/>
    </w:p>
    <w:p>
      <w:pPr>
        <w:spacing w:line="400" w:lineRule="exact"/>
        <w:ind w:firstLine="480" w:firstLineChars="200"/>
        <w:rPr>
          <w:rFonts w:ascii="宋体" w:hAnsi="宋体" w:cs="仿宋"/>
          <w:sz w:val="24"/>
          <w:szCs w:val="24"/>
        </w:rPr>
      </w:pPr>
      <w:r>
        <w:rPr>
          <w:rFonts w:hint="eastAsia" w:ascii="宋体" w:hAnsi="宋体" w:cs="仿宋"/>
          <w:sz w:val="24"/>
          <w:szCs w:val="24"/>
        </w:rPr>
        <w:t>学</w:t>
      </w:r>
      <w:r>
        <w:rPr>
          <w:rFonts w:ascii="宋体" w:hAnsi="宋体" w:cs="仿宋"/>
          <w:sz w:val="24"/>
          <w:szCs w:val="24"/>
        </w:rPr>
        <w:t>校</w:t>
      </w:r>
      <w:r>
        <w:rPr>
          <w:rFonts w:hint="eastAsia" w:ascii="宋体" w:hAnsi="宋体" w:cs="仿宋"/>
          <w:sz w:val="24"/>
          <w:szCs w:val="24"/>
        </w:rPr>
        <w:t>以提高本科教学质量为核心，以“十四五规划”为引导，以教学建设为基础，以教学改革为动力，以科学规范的教学管理为保证，全面深化教学改革和建设。</w:t>
      </w:r>
    </w:p>
    <w:p>
      <w:pPr>
        <w:pStyle w:val="4"/>
        <w:spacing w:before="0" w:after="0" w:line="240" w:lineRule="auto"/>
        <w:rPr>
          <w:b w:val="0"/>
          <w:bCs/>
          <w:sz w:val="28"/>
          <w:szCs w:val="28"/>
        </w:rPr>
      </w:pPr>
      <w:bookmarkStart w:id="60" w:name="_Toc10787_WPSOffice_Level2"/>
      <w:bookmarkStart w:id="61" w:name="_Toc27936_WPSOffice_Level2"/>
      <w:bookmarkStart w:id="62" w:name="_Toc8090_WPSOffice_Level2"/>
      <w:bookmarkStart w:id="63" w:name="_Toc20718"/>
      <w:r>
        <w:rPr>
          <w:rFonts w:hint="eastAsia"/>
          <w:b w:val="0"/>
          <w:bCs/>
          <w:sz w:val="28"/>
          <w:szCs w:val="28"/>
        </w:rPr>
        <w:t>（一）</w:t>
      </w:r>
      <w:bookmarkEnd w:id="60"/>
      <w:bookmarkEnd w:id="61"/>
      <w:bookmarkEnd w:id="62"/>
      <w:r>
        <w:rPr>
          <w:rFonts w:hint="eastAsia"/>
          <w:b w:val="0"/>
          <w:bCs/>
          <w:sz w:val="28"/>
          <w:szCs w:val="28"/>
        </w:rPr>
        <w:t>专业建设</w:t>
      </w:r>
      <w:bookmarkEnd w:id="63"/>
    </w:p>
    <w:p>
      <w:pPr>
        <w:autoSpaceDE w:val="0"/>
        <w:autoSpaceDN w:val="0"/>
        <w:adjustRightIn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1.修订培养方案</w:t>
      </w:r>
    </w:p>
    <w:p>
      <w:pPr>
        <w:autoSpaceDE w:val="0"/>
        <w:autoSpaceDN w:val="0"/>
        <w:adjustRightIn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人才培养方案是高等学校教学工作的顶层设计，是实现人才培养目标与规格要求的纲领性文件，根据国家及吉林省教育厅相关文件精神，为适应国家和区域经济社会发展对应用型人才的新要求，构建具有长电特色的本科人才培养体系，全面提高人才培养质量，加快推动学校特色鲜明的高水平应用型现代产业大学建设，在总结2016版本科人才培养方案实施运行情况的基础上，完成了新一轮本科专业人才培养方案修订工作。</w:t>
      </w:r>
    </w:p>
    <w:p>
      <w:pPr>
        <w:autoSpaceDE w:val="0"/>
        <w:autoSpaceDN w:val="0"/>
        <w:adjustRightIn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2.制定“十四五”专业建设与发展规划</w:t>
      </w:r>
    </w:p>
    <w:p>
      <w:pPr>
        <w:autoSpaceDE w:val="0"/>
        <w:autoSpaceDN w:val="0"/>
        <w:adjustRightIn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加强本科专业建设，推进专业内涵式发展，突出学校办学特色和优势，教务处开展专业建设需求调查，制定了“十四五”专业建设与发展规划。目标是在“十四五”期间，学校专业总量控制在30-33个，专业规模更加稳定、专业结构更加优化。紧密契合产业发展需求，结合学校自身特点，培育一流品牌，致力内涵发展，形成以光、机、电、算为“龙头”，以集群发展为平台，布局合理，层次衔接，特色鲜明，优势突出，多学科融合、持续发展的专业体系，全面提升专业办学质量和办学效益。</w:t>
      </w:r>
    </w:p>
    <w:p>
      <w:pPr>
        <w:spacing w:line="400" w:lineRule="exact"/>
        <w:ind w:firstLine="480" w:firstLineChars="200"/>
        <w:rPr>
          <w:rFonts w:ascii="宋体" w:hAnsi="宋体" w:cs="仿宋"/>
          <w:sz w:val="24"/>
          <w:szCs w:val="24"/>
        </w:rPr>
      </w:pPr>
      <w:r>
        <w:rPr>
          <w:rFonts w:hint="eastAsia" w:ascii="宋体" w:hAnsi="宋体" w:cs="仿宋"/>
          <w:sz w:val="24"/>
          <w:szCs w:val="24"/>
        </w:rPr>
        <w:t>3</w:t>
      </w:r>
      <w:r>
        <w:rPr>
          <w:rFonts w:ascii="宋体" w:hAnsi="宋体" w:cs="仿宋"/>
          <w:sz w:val="24"/>
          <w:szCs w:val="24"/>
        </w:rPr>
        <w:t>.</w:t>
      </w:r>
      <w:r>
        <w:rPr>
          <w:rFonts w:hint="eastAsia" w:ascii="宋体" w:hAnsi="宋体" w:cs="仿宋"/>
          <w:sz w:val="24"/>
          <w:szCs w:val="24"/>
        </w:rPr>
        <w:t>专业设置与调整</w:t>
      </w:r>
    </w:p>
    <w:p>
      <w:pPr>
        <w:spacing w:line="440" w:lineRule="exact"/>
        <w:ind w:firstLine="480" w:firstLineChars="200"/>
        <w:rPr>
          <w:rFonts w:ascii="宋体" w:hAnsi="宋体" w:cs="仿宋"/>
          <w:sz w:val="24"/>
          <w:szCs w:val="24"/>
        </w:rPr>
      </w:pPr>
      <w:r>
        <w:rPr>
          <w:rFonts w:hint="eastAsia" w:ascii="宋体" w:hAnsi="宋体" w:cs="仿宋"/>
          <w:sz w:val="24"/>
          <w:szCs w:val="24"/>
        </w:rPr>
        <w:t xml:space="preserve"> </w:t>
      </w:r>
      <w:r>
        <w:rPr>
          <w:rFonts w:hint="eastAsia" w:asciiTheme="minorEastAsia" w:hAnsiTheme="minorEastAsia" w:cstheme="minorEastAsia"/>
          <w:sz w:val="24"/>
          <w:szCs w:val="24"/>
        </w:rPr>
        <w:t>规范专业设置，对专业进行结构优化调整，根据学校专业动态调整的意见和经济社会发展需求，及时调整专业设置。2021年，我校获批智能感知工程、数字经济、服装与服饰设计3个新专业；撤销专业2个：过程装备与控制工程专业、材料成型及控制工程专业；停招专业6个：美术学、光源与照明、飞行器动力工程、交通运输、网络工程、广播电视工程，使专业设置更趋科学合理。应对高考改革中选物理+化学科目人数减少，短期内，在不影响我校办学特色的情况下，适度增加文科、艺术类专业数量及招生人数，使学校的专业与社会经济发展保持高度契合度，同时满足高考改革需求；要抓好学科和专业建设，增加对考生吸引力。</w:t>
      </w:r>
    </w:p>
    <w:p>
      <w:pPr>
        <w:spacing w:line="400" w:lineRule="exact"/>
        <w:ind w:firstLine="480" w:firstLineChars="200"/>
        <w:rPr>
          <w:rFonts w:ascii="宋体" w:hAnsi="宋体" w:cs="仿宋"/>
          <w:sz w:val="24"/>
          <w:szCs w:val="24"/>
        </w:rPr>
      </w:pPr>
      <w:r>
        <w:rPr>
          <w:rFonts w:hint="eastAsia" w:ascii="宋体" w:hAnsi="宋体" w:cs="仿宋"/>
          <w:sz w:val="24"/>
          <w:szCs w:val="24"/>
        </w:rPr>
        <w:t>4</w:t>
      </w:r>
      <w:r>
        <w:rPr>
          <w:rFonts w:ascii="宋体" w:hAnsi="宋体" w:cs="仿宋"/>
          <w:sz w:val="24"/>
          <w:szCs w:val="24"/>
        </w:rPr>
        <w:t>.</w:t>
      </w:r>
      <w:r>
        <w:rPr>
          <w:rFonts w:hint="eastAsia" w:ascii="宋体" w:hAnsi="宋体" w:cs="宋体"/>
          <w:sz w:val="24"/>
          <w:szCs w:val="24"/>
        </w:rPr>
        <w:t>一流专业建设</w:t>
      </w:r>
    </w:p>
    <w:p>
      <w:pPr>
        <w:autoSpaceDE w:val="0"/>
        <w:autoSpaceDN w:val="0"/>
        <w:adjustRightIn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学校以</w:t>
      </w:r>
      <w:r>
        <w:rPr>
          <w:rFonts w:asciiTheme="minorEastAsia" w:hAnsiTheme="minorEastAsia" w:cstheme="minorEastAsia"/>
          <w:sz w:val="24"/>
          <w:szCs w:val="24"/>
        </w:rPr>
        <w:t>教育部一流本科专业建设“双万计划”</w:t>
      </w:r>
      <w:r>
        <w:rPr>
          <w:rFonts w:hint="eastAsia" w:asciiTheme="minorEastAsia" w:hAnsiTheme="minorEastAsia" w:cstheme="minorEastAsia"/>
          <w:sz w:val="24"/>
          <w:szCs w:val="24"/>
        </w:rPr>
        <w:t>为契机</w:t>
      </w:r>
      <w:r>
        <w:rPr>
          <w:rFonts w:asciiTheme="minorEastAsia" w:hAnsiTheme="minorEastAsia" w:cstheme="minorEastAsia"/>
          <w:sz w:val="24"/>
          <w:szCs w:val="24"/>
        </w:rPr>
        <w:t>，</w:t>
      </w:r>
      <w:r>
        <w:rPr>
          <w:rFonts w:hint="eastAsia" w:asciiTheme="minorEastAsia" w:hAnsiTheme="minorEastAsia" w:cstheme="minorEastAsia"/>
          <w:sz w:val="24"/>
          <w:szCs w:val="24"/>
        </w:rPr>
        <w:t>结合《学校专业建设与发展规划》</w:t>
      </w:r>
      <w:r>
        <w:rPr>
          <w:rFonts w:asciiTheme="minorEastAsia" w:hAnsiTheme="minorEastAsia" w:cstheme="minorEastAsia"/>
          <w:sz w:val="24"/>
          <w:szCs w:val="24"/>
        </w:rPr>
        <w:t>总体部署，</w:t>
      </w:r>
      <w:r>
        <w:rPr>
          <w:rFonts w:hint="eastAsia" w:asciiTheme="minorEastAsia" w:hAnsiTheme="minorEastAsia" w:cstheme="minorEastAsia"/>
          <w:sz w:val="24"/>
          <w:szCs w:val="24"/>
        </w:rPr>
        <w:t>对接专业类教学质量国家标准，大力扶持特色专业，强化专业内涵建设，2021-2022学年，获批</w:t>
      </w:r>
      <w:r>
        <w:rPr>
          <w:rFonts w:asciiTheme="minorEastAsia" w:hAnsiTheme="minorEastAsia" w:cstheme="minorEastAsia"/>
          <w:sz w:val="24"/>
          <w:szCs w:val="24"/>
        </w:rPr>
        <w:t>国家</w:t>
      </w:r>
      <w:r>
        <w:rPr>
          <w:rFonts w:hint="eastAsia" w:asciiTheme="minorEastAsia" w:hAnsiTheme="minorEastAsia" w:cstheme="minorEastAsia"/>
          <w:sz w:val="24"/>
          <w:szCs w:val="24"/>
        </w:rPr>
        <w:t>级</w:t>
      </w:r>
      <w:r>
        <w:rPr>
          <w:rFonts w:asciiTheme="minorEastAsia" w:hAnsiTheme="minorEastAsia" w:cstheme="minorEastAsia"/>
          <w:sz w:val="24"/>
          <w:szCs w:val="24"/>
        </w:rPr>
        <w:t>一流本科专业建设点</w:t>
      </w:r>
      <w:r>
        <w:rPr>
          <w:rFonts w:hint="eastAsia" w:asciiTheme="minorEastAsia" w:hAnsiTheme="minorEastAsia" w:cstheme="minorEastAsia"/>
          <w:sz w:val="24"/>
          <w:szCs w:val="24"/>
        </w:rPr>
        <w:t>1个，</w:t>
      </w:r>
      <w:r>
        <w:rPr>
          <w:rFonts w:asciiTheme="minorEastAsia" w:hAnsiTheme="minorEastAsia" w:cstheme="minorEastAsia"/>
          <w:sz w:val="24"/>
          <w:szCs w:val="24"/>
        </w:rPr>
        <w:t>省</w:t>
      </w:r>
      <w:r>
        <w:rPr>
          <w:rFonts w:hint="eastAsia" w:asciiTheme="minorEastAsia" w:hAnsiTheme="minorEastAsia" w:cstheme="minorEastAsia"/>
          <w:sz w:val="24"/>
          <w:szCs w:val="24"/>
        </w:rPr>
        <w:t>级</w:t>
      </w:r>
      <w:r>
        <w:rPr>
          <w:rFonts w:asciiTheme="minorEastAsia" w:hAnsiTheme="minorEastAsia" w:cstheme="minorEastAsia"/>
          <w:sz w:val="24"/>
          <w:szCs w:val="24"/>
        </w:rPr>
        <w:t>一流本科专业</w:t>
      </w:r>
      <w:r>
        <w:rPr>
          <w:rFonts w:hint="eastAsia" w:asciiTheme="minorEastAsia" w:hAnsiTheme="minorEastAsia" w:cstheme="minorEastAsia"/>
          <w:sz w:val="24"/>
          <w:szCs w:val="24"/>
        </w:rPr>
        <w:t>建设点2个</w:t>
      </w:r>
      <w:r>
        <w:rPr>
          <w:rFonts w:asciiTheme="minorEastAsia" w:hAnsiTheme="minorEastAsia" w:cstheme="minorEastAsia"/>
          <w:sz w:val="24"/>
          <w:szCs w:val="24"/>
        </w:rPr>
        <w:t>。</w:t>
      </w:r>
    </w:p>
    <w:p>
      <w:pPr>
        <w:autoSpaceDE w:val="0"/>
        <w:autoSpaceDN w:val="0"/>
        <w:adjustRightInd w:val="0"/>
        <w:spacing w:line="400" w:lineRule="exact"/>
        <w:ind w:firstLine="480" w:firstLineChars="200"/>
        <w:rPr>
          <w:rFonts w:ascii="宋体" w:hAnsi="宋体" w:cs="仿宋"/>
          <w:sz w:val="24"/>
          <w:szCs w:val="24"/>
        </w:rPr>
      </w:pPr>
      <w:r>
        <w:rPr>
          <w:rFonts w:hint="eastAsia" w:asciiTheme="minorEastAsia" w:hAnsiTheme="minorEastAsia" w:cstheme="minorEastAsia"/>
          <w:sz w:val="24"/>
          <w:szCs w:val="24"/>
        </w:rPr>
        <w:t>在全国第三方大学评价机构艾瑞深校友会网公布的《2022校友会吉林省大学一流专业排名（应用型）》中，</w:t>
      </w:r>
      <w:r>
        <w:rPr>
          <w:rFonts w:asciiTheme="minorEastAsia" w:hAnsiTheme="minorEastAsia" w:cstheme="minorEastAsia"/>
          <w:sz w:val="24"/>
          <w:szCs w:val="24"/>
        </w:rPr>
        <w:t>吉林省20所应用型高校参与排名，</w:t>
      </w:r>
      <w:r>
        <w:rPr>
          <w:rFonts w:hint="eastAsia" w:asciiTheme="minorEastAsia" w:hAnsiTheme="minorEastAsia" w:cstheme="minorEastAsia"/>
          <w:sz w:val="24"/>
          <w:szCs w:val="24"/>
        </w:rPr>
        <w:t>我校凭借4个中国六星级专业、11个中国五星级专业、10个中国四星级专业、11个中国三星级专业，排名第6位，</w:t>
      </w:r>
      <w:r>
        <w:rPr>
          <w:rFonts w:asciiTheme="minorEastAsia" w:hAnsiTheme="minorEastAsia" w:cstheme="minorEastAsia"/>
          <w:sz w:val="24"/>
          <w:szCs w:val="24"/>
        </w:rPr>
        <w:t>稳居全省同类高校前列</w:t>
      </w:r>
      <w:r>
        <w:rPr>
          <w:rFonts w:hint="eastAsia" w:asciiTheme="minorEastAsia" w:hAnsiTheme="minorEastAsia" w:cstheme="minorEastAsia"/>
          <w:sz w:val="24"/>
          <w:szCs w:val="24"/>
        </w:rPr>
        <w:t>。</w:t>
      </w:r>
      <w:r>
        <w:rPr>
          <w:rFonts w:asciiTheme="minorEastAsia" w:hAnsiTheme="minorEastAsia" w:cstheme="minorEastAsia"/>
          <w:sz w:val="24"/>
          <w:szCs w:val="24"/>
        </w:rPr>
        <w:t>榜单显示，</w:t>
      </w:r>
      <w:r>
        <w:rPr>
          <w:rFonts w:hint="eastAsia" w:asciiTheme="minorEastAsia" w:hAnsiTheme="minorEastAsia" w:cstheme="minorEastAsia"/>
          <w:sz w:val="24"/>
          <w:szCs w:val="24"/>
        </w:rPr>
        <w:t>我校</w:t>
      </w:r>
      <w:r>
        <w:rPr>
          <w:rFonts w:asciiTheme="minorEastAsia" w:hAnsiTheme="minorEastAsia" w:cstheme="minorEastAsia"/>
          <w:sz w:val="24"/>
          <w:szCs w:val="24"/>
        </w:rPr>
        <w:t>部分本科专业办学质量已经达到全省同类高校的领先水平。其中，排名全省同类高校第1位的专业1</w:t>
      </w:r>
      <w:r>
        <w:rPr>
          <w:rFonts w:hint="eastAsia" w:asciiTheme="minorEastAsia" w:hAnsiTheme="minorEastAsia" w:cstheme="minorEastAsia"/>
          <w:sz w:val="24"/>
          <w:szCs w:val="24"/>
        </w:rPr>
        <w:t>4</w:t>
      </w:r>
      <w:r>
        <w:rPr>
          <w:rFonts w:asciiTheme="minorEastAsia" w:hAnsiTheme="minorEastAsia" w:cstheme="minorEastAsia"/>
          <w:sz w:val="24"/>
          <w:szCs w:val="24"/>
        </w:rPr>
        <w:t>个，排名第2位的专业</w:t>
      </w:r>
      <w:r>
        <w:rPr>
          <w:rFonts w:hint="eastAsia" w:asciiTheme="minorEastAsia" w:hAnsiTheme="minorEastAsia" w:cstheme="minorEastAsia"/>
          <w:sz w:val="24"/>
          <w:szCs w:val="24"/>
        </w:rPr>
        <w:t>6</w:t>
      </w:r>
      <w:r>
        <w:rPr>
          <w:rFonts w:asciiTheme="minorEastAsia" w:hAnsiTheme="minorEastAsia" w:cstheme="minorEastAsia"/>
          <w:sz w:val="24"/>
          <w:szCs w:val="24"/>
        </w:rPr>
        <w:t>个，排名第3位的专业</w:t>
      </w:r>
      <w:r>
        <w:rPr>
          <w:rFonts w:hint="eastAsia" w:asciiTheme="minorEastAsia" w:hAnsiTheme="minorEastAsia" w:cstheme="minorEastAsia"/>
          <w:sz w:val="24"/>
          <w:szCs w:val="24"/>
        </w:rPr>
        <w:t>1</w:t>
      </w:r>
      <w:r>
        <w:rPr>
          <w:rFonts w:asciiTheme="minorEastAsia" w:hAnsiTheme="minorEastAsia" w:cstheme="minorEastAsia"/>
          <w:sz w:val="24"/>
          <w:szCs w:val="24"/>
        </w:rPr>
        <w:t>个，排名全省前3位的专业占全校专业总数的</w:t>
      </w:r>
      <w:r>
        <w:rPr>
          <w:rFonts w:hint="eastAsia" w:asciiTheme="minorEastAsia" w:hAnsiTheme="minorEastAsia" w:cstheme="minorEastAsia"/>
          <w:sz w:val="24"/>
          <w:szCs w:val="24"/>
        </w:rPr>
        <w:t>58</w:t>
      </w:r>
      <w:r>
        <w:rPr>
          <w:rFonts w:asciiTheme="minorEastAsia" w:hAnsiTheme="minorEastAsia" w:cstheme="minorEastAsia"/>
          <w:sz w:val="24"/>
          <w:szCs w:val="24"/>
        </w:rPr>
        <w:t>.</w:t>
      </w:r>
      <w:r>
        <w:rPr>
          <w:rFonts w:hint="eastAsia" w:asciiTheme="minorEastAsia" w:hAnsiTheme="minorEastAsia" w:cstheme="minorEastAsia"/>
          <w:sz w:val="24"/>
          <w:szCs w:val="24"/>
        </w:rPr>
        <w:t>3</w:t>
      </w:r>
      <w:r>
        <w:rPr>
          <w:rFonts w:asciiTheme="minorEastAsia" w:hAnsiTheme="minorEastAsia" w:cstheme="minorEastAsia"/>
          <w:sz w:val="24"/>
          <w:szCs w:val="24"/>
        </w:rPr>
        <w:t>3%。</w:t>
      </w:r>
      <w:r>
        <w:rPr>
          <w:rFonts w:hint="eastAsia" w:asciiTheme="minorEastAsia" w:hAnsiTheme="minorEastAsia" w:cstheme="minorEastAsia"/>
          <w:sz w:val="24"/>
          <w:szCs w:val="24"/>
        </w:rPr>
        <w:t>从第三方评价机构的科学评价角度反映了学校在专业建设中做出的努力和取得的成效，一流专业建设的品牌效应进一步扩大了学校知名度和美誉度。</w:t>
      </w:r>
    </w:p>
    <w:p>
      <w:pPr>
        <w:pStyle w:val="4"/>
        <w:spacing w:before="0" w:after="0" w:line="240" w:lineRule="auto"/>
        <w:rPr>
          <w:rFonts w:ascii="宋体" w:hAnsi="宋体" w:cs="宋体"/>
          <w:kern w:val="0"/>
          <w:sz w:val="24"/>
          <w:szCs w:val="24"/>
        </w:rPr>
      </w:pPr>
      <w:bookmarkStart w:id="64" w:name="_Toc25257_WPSOffice_Level2"/>
      <w:bookmarkStart w:id="65" w:name="_Toc32076_WPSOffice_Level2"/>
      <w:bookmarkStart w:id="66" w:name="_Toc17311"/>
      <w:bookmarkStart w:id="67" w:name="_Toc7378_WPSOffice_Level2"/>
      <w:r>
        <w:rPr>
          <w:rFonts w:hint="eastAsia"/>
          <w:b w:val="0"/>
          <w:bCs/>
          <w:sz w:val="28"/>
          <w:szCs w:val="28"/>
        </w:rPr>
        <w:t>（二）课程建设</w:t>
      </w:r>
      <w:bookmarkEnd w:id="64"/>
      <w:bookmarkEnd w:id="65"/>
      <w:bookmarkEnd w:id="66"/>
      <w:bookmarkEnd w:id="67"/>
    </w:p>
    <w:p>
      <w:pPr>
        <w:spacing w:line="400" w:lineRule="exact"/>
        <w:ind w:firstLine="480" w:firstLineChars="200"/>
        <w:rPr>
          <w:rFonts w:ascii="宋体" w:hAnsi="宋体" w:cs="宋体"/>
          <w:bCs/>
          <w:sz w:val="24"/>
          <w:szCs w:val="24"/>
        </w:rPr>
      </w:pPr>
      <w:r>
        <w:rPr>
          <w:rFonts w:ascii="宋体" w:hAnsi="宋体" w:cs="仿宋"/>
          <w:sz w:val="24"/>
          <w:szCs w:val="24"/>
        </w:rPr>
        <w:t xml:space="preserve">1.课程开设情况 </w:t>
      </w:r>
    </w:p>
    <w:p>
      <w:pPr>
        <w:spacing w:line="400" w:lineRule="exact"/>
        <w:ind w:firstLine="480" w:firstLineChars="200"/>
        <w:rPr>
          <w:rFonts w:asciiTheme="minorEastAsia" w:hAnsiTheme="minorEastAsia" w:cstheme="minorEastAsia"/>
          <w:sz w:val="24"/>
          <w:szCs w:val="24"/>
        </w:rPr>
      </w:pPr>
      <w:r>
        <w:rPr>
          <w:rFonts w:hint="eastAsia" w:ascii="宋体" w:hAnsi="宋体" w:cs="宋体"/>
          <w:bCs/>
          <w:sz w:val="24"/>
          <w:szCs w:val="24"/>
        </w:rPr>
        <w:t>学</w:t>
      </w:r>
      <w:r>
        <w:rPr>
          <w:rFonts w:ascii="宋体" w:hAnsi="宋体" w:cs="宋体"/>
          <w:bCs/>
          <w:sz w:val="24"/>
          <w:szCs w:val="24"/>
        </w:rPr>
        <w:t>校</w:t>
      </w:r>
      <w:r>
        <w:rPr>
          <w:rFonts w:hint="eastAsia" w:ascii="宋体" w:hAnsi="宋体" w:cs="宋体"/>
          <w:bCs/>
          <w:sz w:val="24"/>
          <w:szCs w:val="24"/>
        </w:rPr>
        <w:t>共开设本科课程618门，其中选修课</w:t>
      </w:r>
      <w:r>
        <w:rPr>
          <w:rFonts w:ascii="宋体" w:hAnsi="宋体" w:cs="宋体"/>
          <w:bCs/>
          <w:sz w:val="24"/>
          <w:szCs w:val="24"/>
        </w:rPr>
        <w:t>147</w:t>
      </w:r>
      <w:r>
        <w:rPr>
          <w:rFonts w:hint="eastAsia" w:ascii="宋体" w:hAnsi="宋体" w:cs="宋体"/>
          <w:bCs/>
          <w:sz w:val="24"/>
          <w:szCs w:val="24"/>
        </w:rPr>
        <w:t>门，选修课占全部课程比例为</w:t>
      </w:r>
      <w:r>
        <w:rPr>
          <w:rFonts w:ascii="宋体" w:hAnsi="宋体" w:cs="宋体"/>
          <w:bCs/>
          <w:sz w:val="24"/>
          <w:szCs w:val="24"/>
        </w:rPr>
        <w:t>2</w:t>
      </w:r>
      <w:r>
        <w:rPr>
          <w:rFonts w:hint="eastAsia" w:ascii="宋体" w:hAnsi="宋体" w:cs="宋体"/>
          <w:bCs/>
          <w:sz w:val="24"/>
          <w:szCs w:val="24"/>
        </w:rPr>
        <w:t>3</w:t>
      </w:r>
      <w:r>
        <w:rPr>
          <w:rFonts w:ascii="宋体" w:hAnsi="宋体" w:cs="宋体"/>
          <w:bCs/>
          <w:sz w:val="24"/>
          <w:szCs w:val="24"/>
        </w:rPr>
        <w:t>.</w:t>
      </w:r>
      <w:r>
        <w:rPr>
          <w:rFonts w:hint="eastAsia" w:ascii="宋体" w:hAnsi="宋体" w:cs="宋体"/>
          <w:bCs/>
          <w:sz w:val="24"/>
          <w:szCs w:val="24"/>
        </w:rPr>
        <w:t>79%，引进和自建在线课程总门数320门</w:t>
      </w:r>
      <w:r>
        <w:rPr>
          <w:rFonts w:ascii="宋体" w:hAnsi="宋体" w:cs="宋体"/>
          <w:bCs/>
          <w:sz w:val="24"/>
          <w:szCs w:val="24"/>
        </w:rPr>
        <w:t>。</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2.制定“十四五”课程建设规划</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不断提高学校课程建设质量和水平，规范课程教学管理，更好地发挥课程学习在人才培养中的作用，根据国家及省文件精神，结合学校课程建设实际，制订了学校“十四五”课程建设规划。在“十四五”期间，要着眼于国家、区域所急所需，顺应各专业对人才培养的设计和布局，体现学科专业及知识体系间的交叉融合，将理念更新、技术创新、交流合作、精心打磨等多重因素有机结合，实现课程的升级迭代、推陈出新，建设出一批高质量、高水平的课程作为高素质人才培养的重要支撑。为加强一流课程建设，结合我校实际，建立了一流课程实施方案，明确了建设目标：建设一批质量高、效果好、体现长电特色的一流课程，优化课程体系，提升教学质量，利用3年时间，建设校级及以上一流课程40-50门。建设原则：统筹规划、全面覆盖，力争每个专业至少建设一门一流课程。打造“三级五类”一流课程，带动我校课程建设全面发展，加强监管，增加过程检查，做到建用结合，管理规范，将建设经费效率最大化。</w:t>
      </w:r>
    </w:p>
    <w:p>
      <w:pPr>
        <w:spacing w:line="400" w:lineRule="exact"/>
        <w:ind w:firstLine="480" w:firstLineChars="200"/>
        <w:rPr>
          <w:rFonts w:ascii="宋体" w:hAnsi="宋体" w:cs="仿宋"/>
          <w:sz w:val="24"/>
          <w:szCs w:val="24"/>
        </w:rPr>
      </w:pPr>
      <w:r>
        <w:rPr>
          <w:rFonts w:hint="eastAsia" w:ascii="宋体" w:hAnsi="宋体" w:cs="仿宋"/>
          <w:sz w:val="24"/>
          <w:szCs w:val="24"/>
        </w:rPr>
        <w:t>3</w:t>
      </w:r>
      <w:r>
        <w:rPr>
          <w:rFonts w:ascii="宋体" w:hAnsi="宋体" w:cs="仿宋"/>
          <w:sz w:val="24"/>
          <w:szCs w:val="24"/>
        </w:rPr>
        <w:t>.</w:t>
      </w:r>
      <w:r>
        <w:rPr>
          <w:rFonts w:hint="eastAsia" w:ascii="宋体" w:hAnsi="宋体" w:cs="仿宋"/>
          <w:sz w:val="24"/>
          <w:szCs w:val="24"/>
        </w:rPr>
        <w:t>一流课程建设</w:t>
      </w:r>
    </w:p>
    <w:p>
      <w:pPr>
        <w:spacing w:line="400" w:lineRule="exact"/>
        <w:ind w:firstLine="480" w:firstLineChars="200"/>
        <w:rPr>
          <w:rFonts w:asciiTheme="minorEastAsia" w:hAnsiTheme="minorEastAsia" w:cstheme="minorEastAsia"/>
          <w:sz w:val="24"/>
          <w:szCs w:val="24"/>
        </w:rPr>
      </w:pPr>
      <w:r>
        <w:rPr>
          <w:rFonts w:hint="eastAsia" w:ascii="宋体" w:hAnsi="宋体" w:cs="宋体"/>
          <w:bCs/>
          <w:sz w:val="24"/>
          <w:szCs w:val="24"/>
        </w:rPr>
        <w:t>落实教育部和省教育厅一流课程建设“双万计划”，着力打造国家、省级、校级一流课程体系。学校以省级“一流课程”立项为契机，推进课程改革，全面修订课程教学大纲，</w:t>
      </w:r>
      <w:r>
        <w:rPr>
          <w:rFonts w:ascii="宋体" w:hAnsi="宋体" w:cs="宋体"/>
          <w:bCs/>
          <w:sz w:val="24"/>
          <w:szCs w:val="24"/>
        </w:rPr>
        <w:t>从课程设置、教学内容、教学方法、课堂形态、师生关系、课堂体验、目标达成以及学生发展</w:t>
      </w:r>
      <w:r>
        <w:rPr>
          <w:rFonts w:hint="eastAsia" w:ascii="宋体" w:hAnsi="宋体" w:cs="宋体"/>
          <w:bCs/>
          <w:sz w:val="24"/>
          <w:szCs w:val="24"/>
        </w:rPr>
        <w:t>等</w:t>
      </w:r>
      <w:r>
        <w:rPr>
          <w:rFonts w:ascii="宋体" w:hAnsi="宋体" w:cs="宋体"/>
          <w:bCs/>
          <w:sz w:val="24"/>
          <w:szCs w:val="24"/>
        </w:rPr>
        <w:t>八个维度</w:t>
      </w:r>
      <w:r>
        <w:rPr>
          <w:rFonts w:hint="eastAsia" w:ascii="宋体" w:hAnsi="宋体" w:cs="宋体"/>
          <w:bCs/>
          <w:sz w:val="24"/>
          <w:szCs w:val="24"/>
        </w:rPr>
        <w:t>推进学校课程建设。</w:t>
      </w:r>
      <w:r>
        <w:rPr>
          <w:rFonts w:hint="eastAsia" w:asciiTheme="minorEastAsia" w:hAnsiTheme="minorEastAsia" w:cstheme="minorEastAsia"/>
          <w:sz w:val="24"/>
          <w:szCs w:val="24"/>
        </w:rPr>
        <w:t>我校孙晓黎老师主持的线上线下混合式金课《大学英语(中西文化交互) 》顺利通过吉林省“金课”建设计划项目验收，被认定为吉林省高校一流本科课程，至此，我校已获批4门吉林省高校一流本科课程，对我校课程建设起到示范引领作用。</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4.课程思政</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联合复旦大学共建全国首家“课程思政—中西文化教学实践基地”，在双方各自原有的优势基础上进行互补，共同探索课程建设和思政教育各方面的理论与实践。2021年，我校潘妲老师主讲的《税法》入选吉林省课程思政示范项目，主讲教师潘妲荣获课程思政教学名师，吕鑫老师团队的《C语言程序设计》课程获批吉林省本科高校课程思政建设项目，对我校课程思政建设工作起到良好的示范引领作用，进一步激励广大教师积极投身课程思政教学改革。学校也将积极建设课程思政教学研究中心，进一步开展课程思政专项建设，加大培育校级试点项目，积极推广项目成功经验，推动我校课程思政建设水平更上新台阶。 </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5.课程信息化建设</w:t>
      </w:r>
    </w:p>
    <w:p>
      <w:pPr>
        <w:spacing w:line="440" w:lineRule="exact"/>
        <w:ind w:firstLine="480" w:firstLineChars="200"/>
        <w:jc w:val="left"/>
        <w:rPr>
          <w:rFonts w:ascii="宋体" w:hAnsi="宋体" w:cs="宋体"/>
          <w:bCs/>
          <w:sz w:val="24"/>
          <w:szCs w:val="24"/>
        </w:rPr>
      </w:pPr>
      <w:r>
        <w:rPr>
          <w:rFonts w:hint="eastAsia" w:asciiTheme="minorEastAsia" w:hAnsiTheme="minorEastAsia" w:cstheme="minorEastAsia"/>
          <w:sz w:val="24"/>
          <w:szCs w:val="24"/>
        </w:rPr>
        <w:t>自建与引进相结合，拓展优质网络课程资源，通过超星、智慧树网络教学平台，为学生提供优质在线课程300门，精准的了解学生的学习需求，推动了学生在资源引领下的自主学习。省级课程思政名师潘妲参加了新华网线上课程思政联盟优秀案例展，更好的推动了我校的课程信息化建设。</w:t>
      </w:r>
    </w:p>
    <w:p>
      <w:pPr>
        <w:spacing w:line="400" w:lineRule="exact"/>
        <w:ind w:firstLine="480" w:firstLineChars="200"/>
        <w:rPr>
          <w:rFonts w:ascii="宋体" w:hAnsi="宋体" w:cs="宋体"/>
          <w:bCs/>
          <w:sz w:val="24"/>
          <w:szCs w:val="24"/>
          <w:highlight w:val="yellow"/>
        </w:rPr>
      </w:pPr>
      <w:r>
        <w:rPr>
          <w:rFonts w:hint="eastAsia" w:asciiTheme="minorEastAsia" w:hAnsiTheme="minorEastAsia" w:cstheme="minorEastAsia"/>
          <w:sz w:val="24"/>
          <w:szCs w:val="24"/>
        </w:rPr>
        <w:t>6.</w:t>
      </w:r>
      <w:r>
        <w:rPr>
          <w:rFonts w:hint="eastAsia" w:ascii="宋体" w:hAnsi="宋体" w:cs="宋体"/>
          <w:bCs/>
          <w:sz w:val="24"/>
          <w:szCs w:val="24"/>
        </w:rPr>
        <w:t>开设“习近平总书记关于教育的重要论述研究”的课程情况</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组织广大教师认真学习《习近平总书记教育重要论述讲义》，通过专题讲授等方式，贯彻落实“习近平总书记关于教育的重要论述”思想。围绕《习近平总书记教育重要论述讲义》举行多次研讨，筹备撰写讲稿，为开设“习近平总书记关于教育的重要论述研究”课程做好充分准备。</w:t>
      </w:r>
    </w:p>
    <w:p>
      <w:pPr>
        <w:pStyle w:val="4"/>
        <w:spacing w:before="0" w:after="0" w:line="240" w:lineRule="auto"/>
        <w:rPr>
          <w:b w:val="0"/>
          <w:bCs/>
          <w:sz w:val="28"/>
          <w:szCs w:val="28"/>
        </w:rPr>
      </w:pPr>
      <w:bookmarkStart w:id="68" w:name="_Toc27736_WPSOffice_Level2"/>
      <w:bookmarkStart w:id="69" w:name="_Toc16371_WPSOffice_Level2"/>
      <w:bookmarkStart w:id="70" w:name="_Toc31966_WPSOffice_Level2"/>
      <w:bookmarkStart w:id="71" w:name="_Toc32659"/>
      <w:r>
        <w:rPr>
          <w:rFonts w:hint="eastAsia"/>
          <w:b w:val="0"/>
          <w:bCs/>
          <w:sz w:val="28"/>
          <w:szCs w:val="28"/>
        </w:rPr>
        <w:t>（三）教材建设</w:t>
      </w:r>
      <w:bookmarkEnd w:id="68"/>
      <w:bookmarkEnd w:id="69"/>
      <w:bookmarkEnd w:id="70"/>
      <w:bookmarkEnd w:id="71"/>
    </w:p>
    <w:p>
      <w:pPr>
        <w:spacing w:line="400" w:lineRule="exact"/>
        <w:ind w:firstLine="480" w:firstLineChars="200"/>
        <w:rPr>
          <w:rFonts w:asciiTheme="minorEastAsia" w:hAnsiTheme="minorEastAsia" w:cstheme="minorEastAsia"/>
          <w:sz w:val="24"/>
          <w:szCs w:val="24"/>
        </w:rPr>
      </w:pPr>
      <w:r>
        <w:rPr>
          <w:rFonts w:hint="eastAsia" w:ascii="宋体" w:hAnsi="宋体" w:cs="宋体"/>
          <w:sz w:val="24"/>
        </w:rPr>
        <w:t>2</w:t>
      </w:r>
      <w:r>
        <w:rPr>
          <w:rFonts w:ascii="宋体" w:hAnsi="宋体" w:cs="宋体"/>
          <w:sz w:val="24"/>
        </w:rPr>
        <w:t>0</w:t>
      </w:r>
      <w:r>
        <w:rPr>
          <w:rFonts w:hint="eastAsia" w:ascii="宋体" w:hAnsi="宋体" w:cs="宋体"/>
          <w:sz w:val="24"/>
        </w:rPr>
        <w:t>21</w:t>
      </w:r>
      <w:r>
        <w:rPr>
          <w:rFonts w:ascii="宋体" w:hAnsi="宋体" w:cs="宋体"/>
          <w:sz w:val="24"/>
        </w:rPr>
        <w:t>年</w:t>
      </w:r>
      <w:r>
        <w:rPr>
          <w:rFonts w:hint="eastAsia" w:ascii="宋体" w:hAnsi="宋体" w:cs="宋体"/>
          <w:sz w:val="24"/>
        </w:rPr>
        <w:t>，</w:t>
      </w:r>
      <w:r>
        <w:rPr>
          <w:rFonts w:ascii="宋体" w:hAnsi="宋体" w:cs="宋体"/>
          <w:sz w:val="24"/>
        </w:rPr>
        <w:t>学校</w:t>
      </w:r>
      <w:r>
        <w:rPr>
          <w:rFonts w:hint="eastAsia" w:asciiTheme="minorEastAsia" w:hAnsiTheme="minorEastAsia" w:cstheme="minorEastAsia"/>
          <w:sz w:val="24"/>
          <w:szCs w:val="24"/>
        </w:rPr>
        <w:t>组织召开教材委员会工作会议，</w:t>
      </w:r>
      <w:r>
        <w:rPr>
          <w:rFonts w:hint="eastAsia" w:ascii="宋体" w:hAnsi="宋体" w:cs="宋体"/>
          <w:sz w:val="24"/>
        </w:rPr>
        <w:t>充分发挥教材委员会指导、监督作用</w:t>
      </w:r>
      <w:r>
        <w:rPr>
          <w:rFonts w:ascii="宋体" w:hAnsi="宋体" w:cs="宋体"/>
          <w:sz w:val="24"/>
        </w:rPr>
        <w:t>，</w:t>
      </w:r>
      <w:r>
        <w:rPr>
          <w:rFonts w:hint="eastAsia" w:asciiTheme="minorEastAsia" w:hAnsiTheme="minorEastAsia" w:cstheme="minorEastAsia"/>
          <w:sz w:val="24"/>
          <w:szCs w:val="24"/>
        </w:rPr>
        <w:t>对《光学零件冷加工技术》等教材进行审核甄选，以适合校本应用型人才培养需求。</w:t>
      </w:r>
      <w:r>
        <w:rPr>
          <w:rFonts w:hint="eastAsia" w:ascii="宋体" w:hAnsi="宋体" w:cs="宋体"/>
          <w:sz w:val="24"/>
        </w:rPr>
        <w:t>明确要将《习近平总书记教育重要论述讲义》列入学生必修教材的部署，明确支持和鼓励广大教师出版反映学科和专业特色的高水平教材，将科学研究新进展、实践发展新经验、社会需求新变化及时纳入教材。</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鼓励教师出版适合应用型人才培养需求的教材或编写讲义，我校组织了重点教材立项工作，经评审组评议等环节，《中西文化使用教程》《C语言程序设计》《光学设计及Zemax应用》《电机原理与拖动基础》《光电综合实训》《近代物理实验》《热工基础及流体力学》《数字信号处理》等8部教材为校级立项教材。吕鑫老师主编的《计算机科技基础-C程序设计》教材获批吉林省首批普通本科高校重点教材建设项目。</w:t>
      </w:r>
    </w:p>
    <w:p>
      <w:pPr>
        <w:spacing w:line="400" w:lineRule="exact"/>
        <w:ind w:firstLine="480" w:firstLineChars="200"/>
        <w:rPr>
          <w:rFonts w:ascii="宋体" w:hAnsi="宋体" w:cs="宋体"/>
          <w:sz w:val="24"/>
        </w:rPr>
      </w:pPr>
      <w:r>
        <w:rPr>
          <w:rFonts w:hint="eastAsia" w:ascii="宋体" w:hAnsi="宋体" w:cs="宋体"/>
          <w:sz w:val="24"/>
        </w:rPr>
        <w:t>加快推进国家重点“马工程”教材使用。以往我校除毛泽东思想和中国特色社会主义理论体系概论、思想道德基础与法律修养、中国近现代史纲要、马克思主义基本原理概论4种政治类教材外，全校使用马工程教材数量较少。今年根据中宣部、教育部、吉林省教育厅相关文件的指示，为8门课程选用了马工程重点教材，在开课的课程里覆盖率达100%。</w:t>
      </w:r>
    </w:p>
    <w:p>
      <w:pPr>
        <w:pStyle w:val="4"/>
        <w:spacing w:before="0" w:after="0" w:line="240" w:lineRule="auto"/>
        <w:rPr>
          <w:rFonts w:ascii="宋体" w:hAnsi="宋体" w:cs="仿宋"/>
          <w:bCs/>
          <w:sz w:val="24"/>
          <w:szCs w:val="24"/>
        </w:rPr>
      </w:pPr>
      <w:bookmarkStart w:id="72" w:name="_Toc16952_WPSOffice_Level2"/>
      <w:bookmarkStart w:id="73" w:name="_Toc24292_WPSOffice_Level2"/>
      <w:bookmarkStart w:id="74" w:name="_Toc22744_WPSOffice_Level2"/>
      <w:bookmarkStart w:id="75" w:name="_Toc16205"/>
      <w:r>
        <w:rPr>
          <w:rFonts w:hint="eastAsia"/>
          <w:b w:val="0"/>
          <w:bCs/>
          <w:sz w:val="28"/>
          <w:szCs w:val="28"/>
        </w:rPr>
        <w:t>（四）教学改革与研究</w:t>
      </w:r>
      <w:bookmarkEnd w:id="72"/>
      <w:bookmarkEnd w:id="73"/>
      <w:bookmarkEnd w:id="74"/>
      <w:bookmarkEnd w:id="75"/>
    </w:p>
    <w:p>
      <w:pPr>
        <w:spacing w:line="400" w:lineRule="exact"/>
        <w:ind w:firstLine="480" w:firstLineChars="200"/>
        <w:rPr>
          <w:rFonts w:ascii="宋体" w:hAnsi="宋体" w:cs="仿宋"/>
          <w:sz w:val="24"/>
          <w:szCs w:val="24"/>
        </w:rPr>
      </w:pPr>
      <w:r>
        <w:rPr>
          <w:rFonts w:hint="eastAsia" w:ascii="宋体" w:hAnsi="宋体" w:cs="仿宋"/>
          <w:sz w:val="24"/>
          <w:szCs w:val="24"/>
        </w:rPr>
        <w:t>1.教学交流与研究</w:t>
      </w:r>
    </w:p>
    <w:p>
      <w:pPr>
        <w:spacing w:line="400" w:lineRule="exact"/>
        <w:ind w:firstLine="480" w:firstLineChars="200"/>
        <w:rPr>
          <w:rFonts w:asciiTheme="minorEastAsia" w:hAnsiTheme="minorEastAsia" w:cstheme="minorEastAsia"/>
          <w:sz w:val="24"/>
          <w:szCs w:val="24"/>
        </w:rPr>
      </w:pPr>
      <w:r>
        <w:rPr>
          <w:rFonts w:hint="eastAsia" w:ascii="宋体" w:hAnsi="宋体" w:cs="仿宋"/>
          <w:sz w:val="24"/>
          <w:szCs w:val="24"/>
        </w:rPr>
        <w:t>学校着力打造教学交流与研究的平台。通过组织校内外教科研交流活动、教学成果培育、教学改革研究课题立项、发行吉林省连续性内部资料出版物《光电教学与研究》、教学反思、教学案例展示、优秀教案讲稿评选、名师标兵讲座等一系列研讨交流活动，为全校教师提供一个经验交流、成果推广的平台。2</w:t>
      </w:r>
      <w:r>
        <w:rPr>
          <w:rFonts w:ascii="宋体" w:hAnsi="宋体" w:cs="仿宋"/>
          <w:sz w:val="24"/>
          <w:szCs w:val="24"/>
        </w:rPr>
        <w:t>0</w:t>
      </w:r>
      <w:r>
        <w:rPr>
          <w:rFonts w:hint="eastAsia" w:ascii="宋体" w:hAnsi="宋体" w:cs="仿宋"/>
          <w:sz w:val="24"/>
          <w:szCs w:val="24"/>
        </w:rPr>
        <w:t>21</w:t>
      </w:r>
      <w:r>
        <w:rPr>
          <w:rFonts w:ascii="宋体" w:hAnsi="宋体" w:cs="仿宋"/>
          <w:sz w:val="24"/>
          <w:szCs w:val="24"/>
        </w:rPr>
        <w:t>年</w:t>
      </w:r>
      <w:r>
        <w:rPr>
          <w:rFonts w:hint="eastAsia" w:ascii="宋体" w:hAnsi="宋体" w:cs="仿宋"/>
          <w:sz w:val="24"/>
          <w:szCs w:val="24"/>
        </w:rPr>
        <w:t>，</w:t>
      </w:r>
      <w:r>
        <w:rPr>
          <w:rFonts w:ascii="宋体" w:hAnsi="宋体" w:cs="仿宋"/>
          <w:sz w:val="24"/>
          <w:szCs w:val="24"/>
        </w:rPr>
        <w:t>学校立项校级教改项目</w:t>
      </w:r>
      <w:r>
        <w:rPr>
          <w:rFonts w:asciiTheme="minorEastAsia" w:hAnsiTheme="minorEastAsia" w:cstheme="minorEastAsia"/>
          <w:sz w:val="24"/>
          <w:szCs w:val="24"/>
        </w:rPr>
        <w:t>16项</w:t>
      </w:r>
      <w:r>
        <w:rPr>
          <w:rFonts w:hint="eastAsia" w:asciiTheme="minorEastAsia" w:hAnsiTheme="minorEastAsia" w:cstheme="minorEastAsia"/>
          <w:sz w:val="24"/>
          <w:szCs w:val="24"/>
        </w:rPr>
        <w:t>，获批省级教改课题立项6项，</w:t>
      </w:r>
      <w:r>
        <w:rPr>
          <w:rFonts w:ascii="宋体" w:hAnsi="宋体" w:cs="仿宋"/>
          <w:sz w:val="24"/>
          <w:szCs w:val="24"/>
        </w:rPr>
        <w:t>立项校级</w:t>
      </w:r>
      <w:r>
        <w:rPr>
          <w:rFonts w:hint="eastAsia" w:asciiTheme="minorEastAsia" w:hAnsiTheme="minorEastAsia" w:cstheme="minorEastAsia"/>
          <w:sz w:val="24"/>
          <w:szCs w:val="24"/>
        </w:rPr>
        <w:t>新文科</w:t>
      </w:r>
      <w:r>
        <w:rPr>
          <w:rFonts w:ascii="宋体" w:hAnsi="宋体" w:cs="仿宋"/>
          <w:sz w:val="24"/>
          <w:szCs w:val="24"/>
        </w:rPr>
        <w:t>教改项目</w:t>
      </w:r>
      <w:r>
        <w:rPr>
          <w:rFonts w:asciiTheme="minorEastAsia" w:hAnsiTheme="minorEastAsia" w:cstheme="minorEastAsia"/>
          <w:sz w:val="24"/>
          <w:szCs w:val="24"/>
        </w:rPr>
        <w:t>1</w:t>
      </w:r>
      <w:r>
        <w:rPr>
          <w:rFonts w:hint="eastAsia" w:asciiTheme="minorEastAsia" w:hAnsiTheme="minorEastAsia" w:cstheme="minorEastAsia"/>
          <w:sz w:val="24"/>
          <w:szCs w:val="24"/>
        </w:rPr>
        <w:t>1</w:t>
      </w:r>
      <w:r>
        <w:rPr>
          <w:rFonts w:asciiTheme="minorEastAsia" w:hAnsiTheme="minorEastAsia" w:cstheme="minorEastAsia"/>
          <w:sz w:val="24"/>
          <w:szCs w:val="24"/>
        </w:rPr>
        <w:t>项</w:t>
      </w:r>
      <w:r>
        <w:rPr>
          <w:rFonts w:hint="eastAsia" w:asciiTheme="minorEastAsia" w:hAnsiTheme="minorEastAsia" w:cstheme="minorEastAsia"/>
          <w:sz w:val="24"/>
          <w:szCs w:val="24"/>
        </w:rPr>
        <w:t>，获批省级新文科</w:t>
      </w:r>
      <w:r>
        <w:rPr>
          <w:rFonts w:ascii="宋体" w:hAnsi="宋体" w:cs="仿宋"/>
          <w:sz w:val="24"/>
          <w:szCs w:val="24"/>
        </w:rPr>
        <w:t>教改项</w:t>
      </w:r>
      <w:r>
        <w:rPr>
          <w:rFonts w:hint="eastAsia" w:asciiTheme="minorEastAsia" w:hAnsiTheme="minorEastAsia" w:cstheme="minorEastAsia"/>
          <w:sz w:val="24"/>
          <w:szCs w:val="24"/>
        </w:rPr>
        <w:t>目立项1项，</w:t>
      </w:r>
      <w:r>
        <w:rPr>
          <w:rFonts w:asciiTheme="minorEastAsia" w:hAnsiTheme="minorEastAsia" w:cstheme="minorEastAsia"/>
          <w:sz w:val="24"/>
          <w:szCs w:val="24"/>
        </w:rPr>
        <w:t>发行</w:t>
      </w:r>
      <w:r>
        <w:rPr>
          <w:rFonts w:hint="eastAsia" w:asciiTheme="minorEastAsia" w:hAnsiTheme="minorEastAsia" w:cstheme="minorEastAsia"/>
          <w:sz w:val="24"/>
          <w:szCs w:val="24"/>
        </w:rPr>
        <w:t>《光电教学与研究》2</w:t>
      </w:r>
      <w:r>
        <w:rPr>
          <w:rFonts w:asciiTheme="minorEastAsia" w:hAnsiTheme="minorEastAsia" w:cstheme="minorEastAsia"/>
          <w:sz w:val="24"/>
          <w:szCs w:val="24"/>
        </w:rPr>
        <w:t>期</w:t>
      </w:r>
      <w:r>
        <w:rPr>
          <w:rFonts w:hint="eastAsia" w:asciiTheme="minorEastAsia" w:hAnsiTheme="minorEastAsia" w:cstheme="minorEastAsia"/>
          <w:sz w:val="24"/>
          <w:szCs w:val="24"/>
        </w:rPr>
        <w:t>。</w:t>
      </w:r>
      <w:bookmarkStart w:id="76" w:name="_Toc11247_WPSOffice_Level2"/>
      <w:bookmarkStart w:id="77" w:name="_Toc11726_WPSOffice_Level2"/>
      <w:bookmarkStart w:id="78" w:name="_Toc20306_WPSOffice_Level2"/>
    </w:p>
    <w:p>
      <w:pPr>
        <w:tabs>
          <w:tab w:val="left" w:pos="312"/>
        </w:tabs>
        <w:spacing w:line="400" w:lineRule="exact"/>
        <w:ind w:left="42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教学改革</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推进教学方法和考核方式的改革。一是根据课程特点，支持教师进行项目式、案例式、翻转式等教学方法改革；二是继续完善公共课试题库建设，加快专业课程考核方式改革，提高平时成绩比重、增设期中考试，期末考试形式从原来单一的笔试增加了调查统计报告、总结汇报、开卷考试、分组调查等多元考核方式，极大调动了学生的积极性，学生到课率、课堂参与度、学习效果得到明显提升。在疫情期间，采取多种线上及线上线下混合式教学方式，保障学生上课质量。</w:t>
      </w:r>
    </w:p>
    <w:p>
      <w:pPr>
        <w:pStyle w:val="4"/>
        <w:spacing w:before="0" w:after="0" w:line="240" w:lineRule="auto"/>
        <w:rPr>
          <w:b w:val="0"/>
          <w:bCs/>
          <w:sz w:val="28"/>
          <w:szCs w:val="28"/>
        </w:rPr>
      </w:pPr>
      <w:bookmarkStart w:id="79" w:name="_Toc22090"/>
      <w:r>
        <w:rPr>
          <w:rFonts w:hint="eastAsia"/>
          <w:b w:val="0"/>
          <w:bCs/>
          <w:sz w:val="28"/>
          <w:szCs w:val="28"/>
        </w:rPr>
        <w:t>（五）实践教学</w:t>
      </w:r>
      <w:bookmarkEnd w:id="76"/>
      <w:bookmarkEnd w:id="77"/>
      <w:bookmarkEnd w:id="78"/>
      <w:bookmarkEnd w:id="79"/>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w:t>
      </w:r>
      <w:r>
        <w:rPr>
          <w:rFonts w:asciiTheme="minorEastAsia" w:hAnsiTheme="minorEastAsia" w:cstheme="minorEastAsia"/>
          <w:sz w:val="24"/>
          <w:szCs w:val="24"/>
        </w:rPr>
        <w:t>.</w:t>
      </w:r>
      <w:r>
        <w:rPr>
          <w:rFonts w:hint="eastAsia" w:asciiTheme="minorEastAsia" w:hAnsiTheme="minorEastAsia" w:cstheme="minorEastAsia"/>
          <w:sz w:val="24"/>
          <w:szCs w:val="24"/>
        </w:rPr>
        <w:t>实践教学</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实验教学正常开出，保证了实践教学的开出率。同时克服疫情影响，开展了学生企业实习实训。以校庆工作为契机，利用有限的资金，整合光电科学学院和光电工程学院实验室，与长春光机所、长光集团共建打造“光电长廊”，同时利用校企合作便利，共享长光所仪器设备，为学生提供更好的机会。充分利用专项扶持资金及我校配套资金共计600万元，重点培育机械设计制造及其自动化、电子信息工程、计算机科学与技术3个专业冲击国家一流专业，将实验室建设与我校双一流建设相结合。</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组织学校实践课程秩序专项检查4次，对实验教学状态摸底排查和质量监控，全面掌握实验教学状况，及时发现和解决问题，确保实验教学秩序稳定。成立校、院两级实验室安全专项领导小组，与各学院、各实验教室签订实验室安全责任承诺书，并完成实验室安全专项自查2次，省教育厅组织的全省高校实验室安全专项检查1次，切实将实验室安全责任落实到个人，提高全校师生实验室安全责任意识。在检查中，对发现的问题及时进行了解决，保证了我校实践教学安全进行。</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2.实习实训</w:t>
      </w:r>
    </w:p>
    <w:p>
      <w:pPr>
        <w:spacing w:line="440" w:lineRule="exact"/>
        <w:ind w:firstLine="480" w:firstLineChars="200"/>
        <w:rPr>
          <w:rFonts w:asciiTheme="minorEastAsia" w:hAnsiTheme="minorEastAsia" w:cstheme="minorEastAsia"/>
          <w:sz w:val="24"/>
          <w:szCs w:val="24"/>
        </w:rPr>
      </w:pPr>
      <w:r>
        <w:rPr>
          <w:rFonts w:asciiTheme="minorEastAsia" w:hAnsiTheme="minorEastAsia" w:cstheme="minorEastAsia"/>
          <w:sz w:val="24"/>
          <w:szCs w:val="24"/>
        </w:rPr>
        <w:t>结</w:t>
      </w:r>
      <w:r>
        <w:rPr>
          <w:rFonts w:hint="eastAsia" w:asciiTheme="minorEastAsia" w:hAnsiTheme="minorEastAsia" w:cstheme="minorEastAsia"/>
          <w:sz w:val="24"/>
          <w:szCs w:val="24"/>
        </w:rPr>
        <w:t>依托校企合作，满足学生实习实践需求。2021年，学校新增校企合作单位17家，校企共建订单班1个，新增校外实习实训基地5个。在吉林省教育厅备案高校现代产业学5个。主动对接我省“一主六双”高质量发展战略积极谋划“十四五”人才培养定制班建设工作，在吉林省教育厅备案订单班5个，拟建订单班6个，为我校申报省级现代产业学院建设奠定了基础。</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与长光集团共建的光电智能制造学院为学生实现高质量就业奠定了基础，目前，我校经过培训的学生已有30余人在长春光学精密机械与物理研究所就业。我校与上海禾赛科技开展了校企合作，共有68名学生前往禾赛科技进行实习，实习的学生按工程师要求进行培养，所有学生从事研发工作或现场工程师工作，学生在实习中不再是单一操作性工作，而是能够真正积累工程师岗位要求的工作经验，从而实现了校企无缝连接。</w:t>
      </w:r>
    </w:p>
    <w:p>
      <w:pPr>
        <w:pStyle w:val="4"/>
        <w:spacing w:before="0" w:after="0" w:line="240" w:lineRule="auto"/>
        <w:rPr>
          <w:b w:val="0"/>
          <w:bCs/>
          <w:sz w:val="28"/>
          <w:szCs w:val="28"/>
        </w:rPr>
      </w:pPr>
      <w:bookmarkStart w:id="80" w:name="_Toc15366"/>
      <w:bookmarkStart w:id="81" w:name="_Toc4196_WPSOffice_Level2"/>
      <w:bookmarkStart w:id="82" w:name="_Toc8294_WPSOffice_Level2"/>
      <w:bookmarkStart w:id="83" w:name="_Toc23693_WPSOffice_Level2"/>
      <w:r>
        <w:rPr>
          <w:rFonts w:hint="eastAsia"/>
          <w:b w:val="0"/>
          <w:bCs/>
          <w:sz w:val="28"/>
          <w:szCs w:val="28"/>
        </w:rPr>
        <w:t>（六）毕业论文（设计）</w:t>
      </w:r>
      <w:bookmarkEnd w:id="80"/>
      <w:bookmarkEnd w:id="81"/>
      <w:bookmarkEnd w:id="82"/>
      <w:bookmarkEnd w:id="83"/>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2021年，完成了全校37个专业2642名学生的毕业设计（论文）工作。组织了全校毕业生的答辩工作及校级优秀毕业论文答辩、优秀论文集的编辑、整理、出版工作,2021届毕业设计题目结合生产实践比率比达到75.85.%，比去年提升5.2%。</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应用“毕业设计（论文）管理系统”指导教师对全校毕业生论文进行线上、线下结合的方式指导，其中，“周进展”模块让学生每周有汇报，教师每周有指导，加强了毕业设计（论文）过程管理，有效提高了论文质量。</w:t>
      </w:r>
    </w:p>
    <w:p>
      <w:pPr>
        <w:pStyle w:val="4"/>
        <w:spacing w:before="0" w:after="0" w:line="240" w:lineRule="auto"/>
        <w:rPr>
          <w:b w:val="0"/>
          <w:bCs/>
          <w:sz w:val="28"/>
          <w:szCs w:val="28"/>
        </w:rPr>
      </w:pPr>
      <w:bookmarkStart w:id="84" w:name="_Toc5732_WPSOffice_Level2"/>
      <w:bookmarkStart w:id="85" w:name="_Toc20108_WPSOffice_Level2"/>
      <w:bookmarkStart w:id="86" w:name="_Toc25760_WPSOffice_Level2"/>
      <w:bookmarkStart w:id="87" w:name="_Toc17191"/>
      <w:r>
        <w:rPr>
          <w:rFonts w:hint="eastAsia"/>
          <w:b w:val="0"/>
          <w:bCs/>
          <w:sz w:val="28"/>
          <w:szCs w:val="28"/>
        </w:rPr>
        <w:t>（七）学生创新创业教育</w:t>
      </w:r>
      <w:bookmarkEnd w:id="84"/>
      <w:bookmarkEnd w:id="85"/>
      <w:bookmarkEnd w:id="86"/>
      <w:bookmarkEnd w:id="87"/>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高度重视产教融合，大力倡导产教协同育人，先后成立了长春电子科技学院创新创业指导委员会和创新创业指导中心，开设面向全体学生的创新创业基础课程，开展多种形式的创新创业教育实践活动，将创新创业融入到学校人才培养的各个环节，强化学生“双创”意识的培养和能力的提升。创新创业由原来的竞赛组织方式、精英参与的小众化模式转变为人人有机会参与、人人有途径参与的大众化模式，成为人才培养方案的一个重要组成部分，由原来的第二课堂升级为第一与第二课堂有效融合的模式。在人才培养方案中，设置大学生创新创业基础等“通用型”双创课程，同时设置符合专业能力需要的，具有专业特色的课程，强化学生创新创业意识的培养和能力的提升。</w:t>
      </w:r>
    </w:p>
    <w:p>
      <w:pPr>
        <w:spacing w:line="44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2021年，学校共组织学生参加全国、吉林省比赛共52项，参与总人次达3235人次，达到历史新高。组织了电子设计大赛、光电设计大赛、“互联网+”大学生创新创业大赛等校级竞赛21场。加大了重点竞赛的投入，提升获奖的质量，在教育部认可的比赛项目中，排名第一的“互联网+”大学生创新创业大赛中取得金奖1项，实现了我校此项比赛金奖零的突破。年度取得各类奖项共计537项，其中，取得全国奖项共69项，含全国一等奖10项、全国二等奖24项、全国三等奖35项；吉林省奖项468项，含吉林省特等奖6项、吉林省一等奖49项、吉林省二等奖139项、吉林省三等奖274项。包括在第四届吉林省“互联网+”大学生创新创业大赛取得吉林省赛区金奖1、银奖1项、铜奖5项；在全国大学生基本技能大赛取得全国二等奖2项、三等奖4项；在全国大学生组织能力管理大赛取得全国二等奖1项、三等奖3项；在北斗杯全国大学生科技创新大赛取得全国三等奖1项、省级一等奖3项、二等奖4项、三等奖10项；我校三名同学通过全国光电设计竞赛的突出表现，被蓝思泰克股份有限公司录用实习。学校加大了各类竞赛、大学生创新创业训练项目的资助和奖励力度，建立了课程置换制度，组建“双创”教师指导团队，以赛代练，促进学生创新创业兴趣和能力的提高。</w:t>
      </w:r>
    </w:p>
    <w:p>
      <w:pPr>
        <w:pStyle w:val="3"/>
        <w:spacing w:before="0" w:after="0" w:line="240" w:lineRule="auto"/>
        <w:jc w:val="left"/>
        <w:rPr>
          <w:rFonts w:ascii="黑体" w:hAnsi="黑体" w:eastAsia="黑体" w:cs="黑体"/>
          <w:b w:val="0"/>
          <w:bCs/>
          <w:sz w:val="30"/>
          <w:szCs w:val="30"/>
        </w:rPr>
      </w:pPr>
      <w:bookmarkStart w:id="88" w:name="_Toc7027"/>
      <w:r>
        <w:rPr>
          <w:rFonts w:hint="eastAsia" w:ascii="黑体" w:hAnsi="黑体" w:eastAsia="黑体" w:cs="黑体"/>
          <w:b w:val="0"/>
          <w:bCs/>
          <w:sz w:val="30"/>
          <w:szCs w:val="30"/>
        </w:rPr>
        <w:t>五、专业培养能力</w:t>
      </w:r>
      <w:bookmarkEnd w:id="88"/>
      <w:bookmarkStart w:id="89" w:name="_Toc14620"/>
    </w:p>
    <w:p>
      <w:pPr>
        <w:pStyle w:val="4"/>
        <w:spacing w:before="0" w:after="0" w:line="240" w:lineRule="auto"/>
        <w:rPr>
          <w:b w:val="0"/>
          <w:bCs/>
          <w:sz w:val="28"/>
          <w:szCs w:val="28"/>
        </w:rPr>
      </w:pPr>
      <w:bookmarkStart w:id="90" w:name="_Toc17780"/>
      <w:r>
        <w:rPr>
          <w:rFonts w:hint="eastAsia"/>
          <w:b w:val="0"/>
          <w:bCs/>
          <w:sz w:val="28"/>
          <w:szCs w:val="28"/>
        </w:rPr>
        <w:t>（一）人才培养目标定位与特色</w:t>
      </w:r>
      <w:bookmarkEnd w:id="89"/>
      <w:bookmarkEnd w:id="90"/>
    </w:p>
    <w:p>
      <w:pPr>
        <w:spacing w:line="400" w:lineRule="exact"/>
        <w:ind w:firstLine="480" w:firstLineChars="200"/>
        <w:rPr>
          <w:rFonts w:ascii="宋体" w:hAnsi="宋体" w:cs="仿宋"/>
          <w:sz w:val="24"/>
          <w:szCs w:val="24"/>
        </w:rPr>
      </w:pPr>
      <w:r>
        <w:rPr>
          <w:rFonts w:hint="eastAsia" w:ascii="宋体" w:hAnsi="宋体" w:cs="仿宋"/>
          <w:sz w:val="24"/>
          <w:szCs w:val="24"/>
        </w:rPr>
        <w:t>学校总体人才培养目标：落实立德树人的根本任务，着力培养理想信念坚定，具有健全人格、健康体魄、能力突出的，能够适应工程师、设计师和中高层管理人才岗位需求的高素质应用型人才。</w:t>
      </w:r>
    </w:p>
    <w:p>
      <w:pPr>
        <w:spacing w:line="400" w:lineRule="exact"/>
        <w:ind w:firstLine="480" w:firstLineChars="200"/>
        <w:rPr>
          <w:rFonts w:ascii="宋体" w:hAnsi="宋体" w:cs="仿宋"/>
          <w:sz w:val="24"/>
          <w:szCs w:val="24"/>
        </w:rPr>
      </w:pPr>
      <w:r>
        <w:rPr>
          <w:rFonts w:hint="eastAsia" w:ascii="宋体" w:hAnsi="宋体" w:cs="仿宋"/>
          <w:sz w:val="24"/>
          <w:szCs w:val="24"/>
        </w:rPr>
        <w:t>以习近平新时代中国特色社会主义思想为指导，全面贯彻落实党的教育方针，坚持“以本为本”、有效推进“四个回归”，落实立德树人根本任务，遵循高等教育发展和人才培养规律，全面适应高等教育的新变化。以“四新”建设为引领，秉持“一切为了学生的成长、成才、成功”的教育理念，以“超前识变、积极应变、主动求变”的攻坚行动，主动服务国家战略，主动适应区域经济社会发展，主动对接行业产业发展需求，持续深化教育教学改革和协同育人办学机制。科学构建通识课程与专业课程相结合、专业要求与职业素养相结合、理论教学与实践教学相结合、素质能力与个性化发展相结合、课内与课外相结合，德育、智育、体育、美育、劳育、创新创业教育、职业教育全融入的“1357”应用型本科人才培养体系。主动对接区域产业转型升级，推进校企合作纵深发展，促进产业资源转化为教学资源，携手行业企业共同制定人才培养方案、共同参与教学质量评价、共享教师资源、共享实践教学基地的“两共同、两共享”的“2+2”人才培养模式，实现合作办学、合作育人、合作就业、合作发展，在创新中迎来学校跨越式发展。</w:t>
      </w:r>
    </w:p>
    <w:p>
      <w:pPr>
        <w:pStyle w:val="4"/>
        <w:spacing w:before="0" w:after="0" w:line="240" w:lineRule="auto"/>
        <w:rPr>
          <w:b w:val="0"/>
          <w:bCs/>
          <w:sz w:val="28"/>
          <w:szCs w:val="28"/>
        </w:rPr>
      </w:pPr>
      <w:bookmarkStart w:id="91" w:name="_Toc31473"/>
      <w:bookmarkStart w:id="92" w:name="_Toc7541"/>
      <w:r>
        <w:rPr>
          <w:rFonts w:hint="eastAsia"/>
          <w:b w:val="0"/>
          <w:bCs/>
          <w:sz w:val="28"/>
          <w:szCs w:val="28"/>
        </w:rPr>
        <w:t>（二）专业课程体系建设</w:t>
      </w:r>
      <w:bookmarkEnd w:id="91"/>
      <w:bookmarkEnd w:id="92"/>
    </w:p>
    <w:p>
      <w:pPr>
        <w:spacing w:line="400" w:lineRule="exact"/>
        <w:ind w:firstLine="480" w:firstLineChars="200"/>
        <w:rPr>
          <w:rFonts w:ascii="宋体" w:hAnsi="宋体" w:cs="宋体"/>
          <w:sz w:val="24"/>
          <w:szCs w:val="24"/>
        </w:rPr>
      </w:pPr>
      <w:r>
        <w:rPr>
          <w:rFonts w:hint="eastAsia" w:ascii="宋体" w:hAnsi="宋体" w:cs="宋体"/>
          <w:sz w:val="24"/>
          <w:szCs w:val="24"/>
        </w:rPr>
        <w:t>重构课程体系，课程建设思路由“知识传授”向“能力培养”转变，以课程内容对接职业标准、教学过程对接生产过程为切入点，吸纳行业企业参与课程建设，改革实践教学，构建以能力培养为核心的课程体系。</w:t>
      </w:r>
    </w:p>
    <w:p>
      <w:pPr>
        <w:spacing w:line="400" w:lineRule="exact"/>
        <w:ind w:firstLine="480" w:firstLineChars="200"/>
        <w:rPr>
          <w:rFonts w:ascii="宋体" w:hAnsi="宋体" w:cs="宋体"/>
          <w:sz w:val="24"/>
          <w:szCs w:val="24"/>
        </w:rPr>
      </w:pPr>
      <w:r>
        <w:rPr>
          <w:rFonts w:hint="eastAsia" w:ascii="宋体" w:hAnsi="宋体" w:cs="宋体"/>
          <w:sz w:val="24"/>
          <w:szCs w:val="24"/>
        </w:rPr>
        <w:t>1.课程设置上充分考虑文理渗透、协调发展，构建“通识教育课程模块+专业教育课程模块+综合能力拓展模块”课程体系。新增综合能力拓展模块包含公共选修、必修综合能力拓展课程。学生在校期间，要从技术技能类、学术研究类、社会实践类、职业资质类、创新创意创业类等5类综合能力拓展课程中至少选择3类学习，并获得10学分方可毕业。</w:t>
      </w:r>
    </w:p>
    <w:p>
      <w:pPr>
        <w:spacing w:line="400" w:lineRule="exact"/>
        <w:ind w:firstLine="480" w:firstLineChars="200"/>
        <w:rPr>
          <w:rFonts w:ascii="宋体" w:hAnsi="宋体" w:cs="宋体"/>
          <w:sz w:val="24"/>
          <w:szCs w:val="24"/>
        </w:rPr>
      </w:pPr>
      <w:r>
        <w:rPr>
          <w:rFonts w:hint="eastAsia" w:ascii="宋体" w:hAnsi="宋体" w:cs="宋体"/>
          <w:sz w:val="24"/>
          <w:szCs w:val="24"/>
        </w:rPr>
        <w:t>2.扎实推进课程思政建设，推动思想政治教育、专业教育与社会服务紧密结合。以省、校级课程思政示范、建设项目为引领，依托“青年红色筑梦之旅”、“互联网+”大学生创新创业大赛、创新创业和思想政治理论课社会实践等活动，将思政育人元素全面融入课程体系。</w:t>
      </w:r>
    </w:p>
    <w:p>
      <w:pPr>
        <w:spacing w:line="400" w:lineRule="exact"/>
        <w:ind w:firstLine="480" w:firstLineChars="200"/>
        <w:rPr>
          <w:rFonts w:ascii="宋体" w:hAnsi="宋体" w:cs="宋体"/>
          <w:sz w:val="24"/>
          <w:szCs w:val="24"/>
        </w:rPr>
      </w:pPr>
      <w:r>
        <w:rPr>
          <w:rFonts w:hint="eastAsia" w:ascii="宋体" w:hAnsi="宋体" w:cs="宋体"/>
          <w:sz w:val="24"/>
          <w:szCs w:val="24"/>
        </w:rPr>
        <w:t>3.公共基础课全面应用型改革。大学英语教学中增加应用课时，引入“翻转课堂”，构建线上线下教学相结合、理论与实践相结合的教学模式。计算机基础课程实现理论实践一体化教学，提高教学效率和学生实践能力。数学课程根据各专业需求设置学时，在内容的选择上结合专业特点，增加专业数学的应用内容。大学体育课程结合体育俱乐部制教学，建设足球、网球等7个俱乐部，培养学生终身体育习惯。思政课程增加实践环节，减少理论学时，课内外相结合，辅以参观调查、小组讨论、专题报告等多种教学形式，提高理论课教学实效性。</w:t>
      </w:r>
    </w:p>
    <w:p>
      <w:pPr>
        <w:spacing w:line="400" w:lineRule="exact"/>
        <w:ind w:firstLine="480" w:firstLineChars="200"/>
        <w:rPr>
          <w:rFonts w:ascii="宋体" w:hAnsi="宋体" w:cs="宋体"/>
          <w:sz w:val="24"/>
          <w:szCs w:val="24"/>
        </w:rPr>
      </w:pPr>
      <w:r>
        <w:rPr>
          <w:rFonts w:hint="eastAsia" w:ascii="宋体" w:hAnsi="宋体" w:cs="宋体"/>
          <w:sz w:val="24"/>
          <w:szCs w:val="24"/>
        </w:rPr>
        <w:t>4.专业课程模块化建设，以学生发展为中心，探索满足学生全面培养和学生个性化发展需要的专业课程体系。光电信息科学与工程、通信工程等工科专业等率先实现课程结构模块化，强化学生主体性和能力培养。</w:t>
      </w:r>
    </w:p>
    <w:p>
      <w:pPr>
        <w:spacing w:line="400" w:lineRule="exact"/>
        <w:ind w:firstLine="480" w:firstLineChars="200"/>
        <w:rPr>
          <w:rFonts w:ascii="宋体" w:hAnsi="宋体" w:cs="宋体"/>
          <w:sz w:val="24"/>
          <w:szCs w:val="24"/>
        </w:rPr>
      </w:pPr>
      <w:r>
        <w:rPr>
          <w:rFonts w:ascii="宋体" w:hAnsi="宋体" w:cs="宋体"/>
          <w:sz w:val="24"/>
          <w:szCs w:val="24"/>
        </w:rPr>
        <w:t>5</w:t>
      </w:r>
      <w:r>
        <w:rPr>
          <w:rFonts w:hint="eastAsia" w:ascii="宋体" w:hAnsi="宋体" w:cs="宋体"/>
          <w:sz w:val="24"/>
          <w:szCs w:val="24"/>
        </w:rPr>
        <w:t>.开展在线课程建设，成功加入教育部应用型课程联盟、吉林省高校课程共享联盟、东西部高校课程联盟，与联盟高校实现网上课程资源共享，弥补名师资源的不足，为学生提供更多丰富的优质教学资源。引进超星尔雅等网络课程，加速优质教育资源的共享，引进40门学分课，300余门免费公开课。将慕课、微课等现代教学技术全面融入课程体系改革，组织微课大赛，搭建起开放的、自主学习、内外结合的教育平台，提供丰富、生动、多样化的教学内容。</w:t>
      </w:r>
    </w:p>
    <w:p>
      <w:pPr>
        <w:spacing w:line="400" w:lineRule="exact"/>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积极构建“对接行业、学生主体、能力主导、模拟情境、项目引领、校企合作、双向培养”的教学模式。在教学内容上，引入行业企业的新理念、新知识、新技术、新标准；在教学方法的手段上，推广启发式、讨论式、问题式、项目式、案例式、混合式、翻转式等多样化的教学方式方法，促进学生自主学习；在考核方式上，变末端考核为过程考核，根据课程特点，鼓励采取开卷考试、过程化考核、项目汇报式考核、校企共同考核等多种形式，摆脱理论课考核“一卷定成绩”的弊端。</w:t>
      </w:r>
      <w:r>
        <w:rPr>
          <w:rFonts w:hint="eastAsia" w:ascii="宋体" w:hAnsi="宋体" w:cs="宋体"/>
          <w:sz w:val="24"/>
          <w:szCs w:val="24"/>
        </w:rPr>
        <w:tab/>
      </w:r>
    </w:p>
    <w:p>
      <w:pPr>
        <w:pStyle w:val="4"/>
        <w:spacing w:before="0" w:after="0" w:line="240" w:lineRule="auto"/>
        <w:rPr>
          <w:b w:val="0"/>
          <w:bCs/>
          <w:sz w:val="28"/>
          <w:szCs w:val="28"/>
        </w:rPr>
      </w:pPr>
      <w:bookmarkStart w:id="93" w:name="_Toc30506"/>
      <w:bookmarkStart w:id="94" w:name="_Toc7020"/>
      <w:r>
        <w:rPr>
          <w:rFonts w:hint="eastAsia"/>
          <w:b w:val="0"/>
          <w:bCs/>
          <w:sz w:val="28"/>
          <w:szCs w:val="28"/>
        </w:rPr>
        <w:t>（三）立德树人落实机制</w:t>
      </w:r>
      <w:bookmarkEnd w:id="93"/>
      <w:bookmarkEnd w:id="94"/>
    </w:p>
    <w:p>
      <w:pPr>
        <w:spacing w:line="400" w:lineRule="exact"/>
        <w:ind w:firstLine="480" w:firstLineChars="200"/>
        <w:rPr>
          <w:rFonts w:ascii="宋体" w:hAnsi="宋体" w:cs="宋体"/>
          <w:sz w:val="24"/>
          <w:szCs w:val="24"/>
        </w:rPr>
      </w:pPr>
      <w:r>
        <w:rPr>
          <w:rFonts w:hint="eastAsia" w:ascii="宋体" w:hAnsi="宋体" w:cs="宋体"/>
          <w:sz w:val="24"/>
          <w:szCs w:val="24"/>
        </w:rPr>
        <w:t>1.加强师德师风建设</w:t>
      </w:r>
    </w:p>
    <w:p>
      <w:pPr>
        <w:spacing w:line="400" w:lineRule="exact"/>
        <w:ind w:firstLine="480" w:firstLineChars="200"/>
        <w:rPr>
          <w:rFonts w:ascii="宋体" w:hAnsi="宋体" w:cs="宋体"/>
          <w:sz w:val="24"/>
          <w:szCs w:val="24"/>
        </w:rPr>
      </w:pPr>
      <w:r>
        <w:rPr>
          <w:rFonts w:hint="eastAsia" w:ascii="宋体" w:hAnsi="宋体" w:cs="宋体"/>
          <w:sz w:val="24"/>
          <w:szCs w:val="24"/>
        </w:rPr>
        <w:t>学校高度重视师德师风建设，促进教师思想政治素质和职业道德水平不断提升，教书育人能力进一步增强。通过组织学习上级和学校制定的师德师风系列文件，强化师德师风制度落实；同时强化师德教育培训及师德典型宣传，组织教师参加各类师德师风培训和课程思政培训，积极挖掘选树师德典型，对青年教师讲课标兵、教学名师、教学新秀等典型事迹进行宣传，形成示范引领效应。</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2.建设全课程思政育人体制 </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学校积极构建全程、全方位、立体化的全课程思政育人体制，大力推进思想政治理论课实践教学工作，提高思想政治理论课实效性和育人功能。凝炼每一门课程中蕴含的思政要素，将社会主义核心价值观的培育融入所有课程。同时，加强省级课程思政教学名师和省级课程思政课程示范（建设）项目的引领作用。 </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3.完善教材建设与选用机制 </w:t>
      </w:r>
    </w:p>
    <w:p>
      <w:pPr>
        <w:spacing w:line="400" w:lineRule="exact"/>
        <w:ind w:firstLine="480" w:firstLineChars="200"/>
        <w:rPr>
          <w:rFonts w:ascii="宋体" w:hAnsi="宋体" w:cs="宋体"/>
          <w:sz w:val="24"/>
          <w:szCs w:val="24"/>
        </w:rPr>
      </w:pPr>
      <w:r>
        <w:rPr>
          <w:rFonts w:hint="eastAsia" w:ascii="宋体" w:hAnsi="宋体" w:cs="宋体"/>
          <w:sz w:val="24"/>
          <w:szCs w:val="24"/>
        </w:rPr>
        <w:t>学校大力推动国家统编教材使用，加强 “马工程”重点教材推广使用工作，充分发挥教材育人功能，确保工程重点教材进教学大纲、进课堂、进学生头脑。</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4.强化学生思想政治工作 </w:t>
      </w:r>
    </w:p>
    <w:p>
      <w:pPr>
        <w:spacing w:line="400" w:lineRule="exact"/>
        <w:ind w:firstLine="480" w:firstLineChars="200"/>
        <w:rPr>
          <w:rFonts w:ascii="宋体" w:hAnsi="宋体" w:cs="宋体"/>
          <w:sz w:val="24"/>
          <w:szCs w:val="24"/>
        </w:rPr>
      </w:pPr>
      <w:r>
        <w:rPr>
          <w:rFonts w:hint="eastAsia" w:ascii="宋体" w:hAnsi="宋体" w:cs="宋体"/>
          <w:sz w:val="24"/>
          <w:szCs w:val="24"/>
        </w:rPr>
        <w:t>学校始终聚焦立德树人根本任务，坚持“以学生为中心”的工作理念，坚持以思想政治教育为核心、以德育工程为重点、以学风建设为基础、以队伍建设为保障，着力培养新时代德智体美劳全面发展的社会主义建设者和接班人。</w:t>
      </w:r>
    </w:p>
    <w:p>
      <w:pPr>
        <w:pStyle w:val="4"/>
        <w:spacing w:before="0" w:after="0" w:line="240" w:lineRule="auto"/>
        <w:rPr>
          <w:b w:val="0"/>
          <w:bCs/>
          <w:sz w:val="28"/>
          <w:szCs w:val="28"/>
        </w:rPr>
      </w:pPr>
      <w:bookmarkStart w:id="95" w:name="_Toc9436"/>
      <w:bookmarkStart w:id="96" w:name="_Toc5243"/>
      <w:r>
        <w:rPr>
          <w:rFonts w:hint="eastAsia"/>
          <w:b w:val="0"/>
          <w:bCs/>
          <w:sz w:val="28"/>
          <w:szCs w:val="28"/>
        </w:rPr>
        <w:t>（四）专任教师数量和结构</w:t>
      </w:r>
      <w:bookmarkEnd w:id="95"/>
      <w:bookmarkEnd w:id="96"/>
    </w:p>
    <w:p>
      <w:pPr>
        <w:spacing w:line="400" w:lineRule="exact"/>
        <w:ind w:firstLine="480" w:firstLineChars="200"/>
        <w:rPr>
          <w:rFonts w:ascii="宋体" w:hAnsi="宋体"/>
          <w:szCs w:val="21"/>
        </w:rPr>
      </w:pPr>
      <w:r>
        <w:rPr>
          <w:rFonts w:hint="eastAsia" w:ascii="宋体" w:hAnsi="宋体" w:cs="仿宋"/>
          <w:sz w:val="24"/>
          <w:szCs w:val="24"/>
        </w:rPr>
        <w:t>学</w:t>
      </w:r>
      <w:r>
        <w:rPr>
          <w:rFonts w:ascii="宋体" w:hAnsi="宋体" w:cs="仿宋"/>
          <w:sz w:val="24"/>
          <w:szCs w:val="24"/>
        </w:rPr>
        <w:t>校</w:t>
      </w:r>
      <w:r>
        <w:rPr>
          <w:rFonts w:hint="eastAsia" w:ascii="宋体" w:hAnsi="宋体" w:cs="仿宋"/>
          <w:sz w:val="24"/>
          <w:szCs w:val="24"/>
        </w:rPr>
        <w:t>现有专任教师494人，外聘兼职教师177人，在校生数 11369 人，生师比约为18:1。专任教师队伍中，具有正高职称的80人，具有副高职称的166人，具有博士学位的教师59人，具有硕士学位的教师283人，45周岁以下中青年教师281人。</w:t>
      </w:r>
    </w:p>
    <w:p>
      <w:pPr>
        <w:pStyle w:val="4"/>
        <w:spacing w:before="0" w:after="0" w:line="240" w:lineRule="auto"/>
        <w:rPr>
          <w:b w:val="0"/>
          <w:bCs/>
          <w:sz w:val="28"/>
          <w:szCs w:val="28"/>
        </w:rPr>
      </w:pPr>
      <w:bookmarkStart w:id="97" w:name="_Toc32472"/>
      <w:bookmarkStart w:id="98" w:name="_Toc16679"/>
      <w:r>
        <w:rPr>
          <w:rFonts w:hint="eastAsia"/>
          <w:b w:val="0"/>
          <w:bCs/>
          <w:sz w:val="28"/>
          <w:szCs w:val="28"/>
        </w:rPr>
        <w:t>（五）实践教学</w:t>
      </w:r>
      <w:bookmarkEnd w:id="97"/>
      <w:bookmarkEnd w:id="98"/>
    </w:p>
    <w:p>
      <w:pPr>
        <w:spacing w:line="400" w:lineRule="exact"/>
        <w:ind w:firstLine="480" w:firstLineChars="200"/>
        <w:rPr>
          <w:rFonts w:ascii="宋体" w:hAnsi="宋体" w:cs="宋体"/>
          <w:sz w:val="24"/>
          <w:szCs w:val="24"/>
        </w:rPr>
      </w:pPr>
      <w:r>
        <w:rPr>
          <w:rFonts w:hint="eastAsia" w:ascii="宋体" w:hAnsi="宋体" w:cs="宋体"/>
          <w:sz w:val="24"/>
          <w:szCs w:val="24"/>
        </w:rPr>
        <w:t>在实践教学中学校严格执行培养方案，针对不同专业培养要求，提升实践教学比重，增加综合性、设计性实验，倡导创新性、协作性、研究性实验，已构建课内外结合、校内外结合、专业实践与社会实践结合的适应应用型人才培养需要的“三结合”实践教学体系。随着校企融合的深入，企业参与实践教学各环节的目标、模式、内容和质量标准的制定，参与实践教学环节的过程管理、质量控制和成绩考核，确保学生学习能力、实践能力和创新创业能力的提高。学校新引入“校友邦”大学生实习实践平台，解决学生校外实习的管理问题，提倡从生产一线获取毕业设计（论文）选题，提高实践、实习和毕业设计（论文）质量。</w:t>
      </w:r>
    </w:p>
    <w:p>
      <w:pPr>
        <w:pStyle w:val="4"/>
        <w:spacing w:before="0" w:after="0" w:line="240" w:lineRule="auto"/>
        <w:rPr>
          <w:b w:val="0"/>
          <w:bCs/>
          <w:sz w:val="28"/>
          <w:szCs w:val="28"/>
        </w:rPr>
      </w:pPr>
      <w:bookmarkStart w:id="99" w:name="_Toc10540"/>
      <w:r>
        <w:rPr>
          <w:rFonts w:hint="eastAsia"/>
          <w:b w:val="0"/>
          <w:bCs/>
          <w:sz w:val="28"/>
          <w:szCs w:val="28"/>
        </w:rPr>
        <w:t>（六）学风管理</w:t>
      </w:r>
      <w:bookmarkEnd w:id="99"/>
    </w:p>
    <w:p>
      <w:pPr>
        <w:spacing w:line="400" w:lineRule="exact"/>
        <w:ind w:firstLine="480" w:firstLineChars="200"/>
        <w:rPr>
          <w:rFonts w:ascii="宋体" w:hAnsi="宋体" w:cs="宋体"/>
          <w:sz w:val="24"/>
          <w:szCs w:val="24"/>
        </w:rPr>
      </w:pPr>
      <w:r>
        <w:rPr>
          <w:rFonts w:hint="eastAsia" w:ascii="宋体" w:hAnsi="宋体" w:cs="宋体"/>
          <w:sz w:val="24"/>
          <w:szCs w:val="24"/>
        </w:rPr>
        <w:t>1.加强理论学习及宣传，开展“学生精细化管理”大讨论，全体辅导员、班干部和学生会全体成员共同参加讨论。讨论针对本院学生工作现阶段存在的问题，尤其是学生素质教育方面存在的问题，献计献策，并制定相应的对策。</w:t>
      </w:r>
    </w:p>
    <w:p>
      <w:pPr>
        <w:spacing w:line="400" w:lineRule="exact"/>
        <w:ind w:firstLine="480" w:firstLineChars="200"/>
        <w:rPr>
          <w:rFonts w:ascii="宋体" w:hAnsi="宋体" w:cs="宋体"/>
          <w:sz w:val="24"/>
          <w:szCs w:val="24"/>
        </w:rPr>
      </w:pPr>
      <w:r>
        <w:rPr>
          <w:rFonts w:hint="eastAsia" w:ascii="宋体" w:hAnsi="宋体" w:cs="宋体"/>
          <w:sz w:val="24"/>
          <w:szCs w:val="24"/>
        </w:rPr>
        <w:t>2.合理利用新媒体信息手段，积极探索和掌握学生管理工作的客观规律。利用微信、微博等现代化通信手段发布信息，对学生思想动态进行及时的正确引导。加强与学生的沟通和交流，保持信息渠道的畅通，更好地了解学生的心声。同时完善学生的电子档案信息，将学生个人的基本信息、在校期间奖惩情况、学生的贷款情况、党建信息、活动信息、学习成绩、卫生成绩以及各项检查评比结果等建立电子档案并及时更新，使其比纸质档案能够更加方便快速查询、帮助老师随时掌握学生动态。</w:t>
      </w:r>
    </w:p>
    <w:p>
      <w:pPr>
        <w:spacing w:line="400" w:lineRule="exact"/>
        <w:ind w:firstLine="480" w:firstLineChars="200"/>
        <w:rPr>
          <w:rFonts w:ascii="宋体" w:hAnsi="宋体" w:cs="宋体"/>
          <w:sz w:val="24"/>
          <w:szCs w:val="24"/>
        </w:rPr>
      </w:pPr>
      <w:r>
        <w:rPr>
          <w:rFonts w:hint="eastAsia" w:ascii="宋体" w:hAnsi="宋体" w:cs="宋体"/>
          <w:sz w:val="24"/>
          <w:szCs w:val="24"/>
        </w:rPr>
        <w:t>3.建立辅导员、班干部、寝室长的三级网格化管理体系，共同关注班级学风建设、关心班级学习状况。明晰班委会成员在班级学风建设中的责任分工，班长和学习委员承担班级学风建设的主体责任和监督责任。发挥学团组织在班级学风建设中的积极作用，依托学生会学风建设部开展学习帮扶活动。</w:t>
      </w:r>
    </w:p>
    <w:p>
      <w:pPr>
        <w:spacing w:line="400" w:lineRule="exact"/>
        <w:ind w:firstLine="480" w:firstLineChars="200"/>
        <w:rPr>
          <w:rFonts w:ascii="宋体" w:hAnsi="宋体" w:cs="宋体"/>
          <w:sz w:val="24"/>
          <w:szCs w:val="24"/>
        </w:rPr>
      </w:pPr>
      <w:r>
        <w:rPr>
          <w:rFonts w:hint="eastAsia" w:ascii="宋体" w:hAnsi="宋体" w:cs="宋体"/>
          <w:sz w:val="24"/>
          <w:szCs w:val="24"/>
        </w:rPr>
        <w:t>4.将学风建设专项工作与学院日常工作、学生思想政治教育工作紧密结合起来，作为一项常规性工作来抓，形成常态。狠抓各项工作的落实，注重氛围的渲染及宣传工作，做到各项工作全面向前推进。</w:t>
      </w:r>
    </w:p>
    <w:p>
      <w:pPr>
        <w:spacing w:line="400" w:lineRule="exact"/>
        <w:ind w:firstLine="480" w:firstLineChars="200"/>
        <w:rPr>
          <w:rFonts w:ascii="宋体" w:hAnsi="宋体" w:cs="宋体"/>
          <w:sz w:val="24"/>
          <w:szCs w:val="24"/>
        </w:rPr>
      </w:pPr>
      <w:r>
        <w:rPr>
          <w:rFonts w:hint="eastAsia" w:ascii="宋体" w:hAnsi="宋体" w:cs="宋体"/>
          <w:sz w:val="24"/>
          <w:szCs w:val="24"/>
        </w:rPr>
        <w:t>5.由表象性约束向内在性驱化。通过加强学生日常管理，强化第一课堂、丰富第二课堂工作。一方面以课堂为依托，抓好上课纪律，绝不虚度每一分钟。另一方面，将学风建设工作的重点由检查学生迟到、旷课、早退、夜不归宿等表象性约束，向引导学生积极转变学习态度、提高自控力等内在性驱化转变。同时积极发挥人文特色，开展一系列丰富多彩的文化活动，第二课堂丰富多彩、和第一课堂相得益彰。</w:t>
      </w:r>
    </w:p>
    <w:p>
      <w:pPr>
        <w:spacing w:line="400" w:lineRule="exact"/>
        <w:ind w:firstLine="480" w:firstLineChars="200"/>
        <w:rPr>
          <w:rFonts w:ascii="宋体" w:hAnsi="宋体" w:cs="宋体"/>
          <w:sz w:val="24"/>
          <w:szCs w:val="24"/>
        </w:rPr>
      </w:pPr>
      <w:r>
        <w:rPr>
          <w:rFonts w:hint="eastAsia" w:ascii="宋体" w:hAnsi="宋体" w:cs="宋体"/>
          <w:sz w:val="24"/>
          <w:szCs w:val="24"/>
        </w:rPr>
        <w:t>6.细化工作方法，将学风建设落到实处。针对不同年级学生的特点，开展有针对性的工作，进一步将学风建设深入落实到全院每一位学生身上，使每一位学生切实受益。对大一学生要继续做好养成性教育，从组织早操、晚自习等集体学习活动开始，激发学生的求知欲，培养学生的主动学习习惯。对大二年级，以英语四级考试为主线，通过制定学年学习计划合理规划大学生活，激发内在学习动力。对大三学生开展相关的就业、考研动员和经验的交流等活动，使大三学生依据其自身兴趣和专业特长选准方向，确定就业、考研的基本定位。对大四学生，发挥考研成功和就业去向较好的学生的作用，组织大家进行经验交流。通过各方面的努力，让同学切实体会到学风建设的目的之所在，真正让学风建设的成果惠及到每个学生。</w:t>
      </w:r>
    </w:p>
    <w:p>
      <w:pPr>
        <w:spacing w:line="400" w:lineRule="exact"/>
        <w:ind w:firstLine="480" w:firstLineChars="200"/>
        <w:rPr>
          <w:rFonts w:ascii="宋体" w:hAnsi="宋体" w:cs="宋体"/>
          <w:sz w:val="24"/>
          <w:szCs w:val="24"/>
        </w:rPr>
      </w:pPr>
      <w:r>
        <w:rPr>
          <w:rFonts w:hint="eastAsia" w:ascii="宋体" w:hAnsi="宋体" w:cs="宋体"/>
          <w:sz w:val="24"/>
          <w:szCs w:val="24"/>
        </w:rPr>
        <w:t>7.合理搭建平台、建立激励机制。积极合理搭建校园文化等平台，切实做好实践育人工作，使学生综合素质得以提升，有效促进学风建设工作。并以此为契机，做好“推优树模”工作，结合量化考核办法，建立激励机制，在全校召开学风建设总结表彰大会，对学风建设过程中表现突出、有明显效果的集体和个人，给予表彰和奖励。</w:t>
      </w:r>
    </w:p>
    <w:p>
      <w:pPr>
        <w:spacing w:line="400" w:lineRule="exact"/>
        <w:ind w:firstLine="480" w:firstLineChars="200"/>
        <w:rPr>
          <w:rFonts w:ascii="宋体" w:hAnsi="宋体" w:cs="宋体"/>
          <w:sz w:val="24"/>
          <w:szCs w:val="24"/>
        </w:rPr>
      </w:pPr>
      <w:r>
        <w:rPr>
          <w:rFonts w:hint="eastAsia" w:ascii="宋体" w:hAnsi="宋体" w:cs="宋体"/>
          <w:sz w:val="24"/>
          <w:szCs w:val="24"/>
        </w:rPr>
        <w:t>8.落实管理责任，将管理责任具体化、明晰化。制定详尽的学生干部岗位职责，明确从学生会主席团、部长到班长、团支书、寝室长等每个岗位的要求，使每个人的责任具体、明确。在管理过程中，从辅导员老师到学生干部再到每一位学生，各岗位人员各司其职，保证管理工作效率，上传下达及时有效。既锻炼了各类学生干部，又体现了全体学生民主参与，调动了学生干部的工作积极性，增强了他们的责任感。同时继续深化学生骨干培训班的工作全面开展，打造一支政治素质过硬、综合素质高、工作能力强的学生骨干队伍，实现学生自主管理，使各项工作走上良性循环。</w:t>
      </w:r>
    </w:p>
    <w:p>
      <w:pPr>
        <w:pStyle w:val="3"/>
        <w:spacing w:before="0" w:after="0" w:line="240" w:lineRule="auto"/>
        <w:jc w:val="left"/>
        <w:rPr>
          <w:rFonts w:ascii="黑体" w:hAnsi="黑体" w:eastAsia="黑体" w:cs="黑体"/>
          <w:b w:val="0"/>
          <w:bCs/>
          <w:sz w:val="30"/>
          <w:szCs w:val="30"/>
        </w:rPr>
      </w:pPr>
      <w:bookmarkStart w:id="100" w:name="_Toc20420_WPSOffice_Level1"/>
      <w:bookmarkStart w:id="101" w:name="_Toc17584_WPSOffice_Level1"/>
      <w:bookmarkStart w:id="102" w:name="_Toc19406_WPSOffice_Level1"/>
      <w:bookmarkStart w:id="103" w:name="_Toc28614"/>
      <w:r>
        <w:rPr>
          <w:rFonts w:hint="eastAsia" w:ascii="黑体" w:hAnsi="黑体" w:eastAsia="黑体" w:cs="黑体"/>
          <w:b w:val="0"/>
          <w:bCs/>
          <w:sz w:val="30"/>
          <w:szCs w:val="30"/>
        </w:rPr>
        <w:t>六、质量保障体系</w:t>
      </w:r>
      <w:bookmarkEnd w:id="100"/>
      <w:bookmarkEnd w:id="101"/>
      <w:bookmarkEnd w:id="102"/>
      <w:bookmarkEnd w:id="103"/>
    </w:p>
    <w:p>
      <w:pPr>
        <w:pStyle w:val="4"/>
        <w:spacing w:before="0" w:after="0" w:line="240" w:lineRule="auto"/>
        <w:rPr>
          <w:b w:val="0"/>
          <w:bCs/>
          <w:sz w:val="28"/>
          <w:szCs w:val="28"/>
        </w:rPr>
      </w:pPr>
      <w:bookmarkStart w:id="104" w:name="_Toc20691_WPSOffice_Level2"/>
      <w:bookmarkStart w:id="105" w:name="_Toc25875_WPSOffice_Level2"/>
      <w:bookmarkStart w:id="106" w:name="_Toc12409_WPSOffice_Level2"/>
      <w:bookmarkStart w:id="107" w:name="_Toc16359"/>
      <w:r>
        <w:rPr>
          <w:rFonts w:hint="eastAsia"/>
          <w:b w:val="0"/>
          <w:bCs/>
          <w:sz w:val="28"/>
          <w:szCs w:val="28"/>
        </w:rPr>
        <w:t>（一）质量保障</w:t>
      </w:r>
      <w:bookmarkEnd w:id="104"/>
      <w:bookmarkEnd w:id="105"/>
      <w:bookmarkEnd w:id="106"/>
      <w:r>
        <w:rPr>
          <w:rFonts w:hint="eastAsia"/>
          <w:b w:val="0"/>
          <w:bCs/>
          <w:sz w:val="28"/>
          <w:szCs w:val="28"/>
        </w:rPr>
        <w:t>体系</w:t>
      </w:r>
      <w:bookmarkEnd w:id="107"/>
    </w:p>
    <w:p>
      <w:pPr>
        <w:spacing w:line="40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全面落实人才培养中心地位</w:t>
      </w:r>
    </w:p>
    <w:p>
      <w:pPr>
        <w:spacing w:line="400" w:lineRule="exact"/>
        <w:ind w:firstLine="480" w:firstLineChars="200"/>
        <w:rPr>
          <w:rFonts w:ascii="宋体" w:hAnsi="宋体" w:cs="宋体"/>
          <w:sz w:val="24"/>
          <w:szCs w:val="24"/>
        </w:rPr>
      </w:pPr>
      <w:r>
        <w:rPr>
          <w:rFonts w:hint="eastAsia" w:ascii="宋体" w:hAnsi="宋体" w:cs="宋体"/>
          <w:sz w:val="24"/>
          <w:szCs w:val="24"/>
        </w:rPr>
        <w:t>学校始终坚持人才培养的中心地位，坚持“以生为本”，各项工作均围绕这一中心任务展开。学校领导班子每学期定期召开会议，专题研究教学改革、教学质量监控、课程体系建设等工作。专业指导委员会每学期定期召开会议，专题研究学科专业建设规划、人才培养方案修订等工作。教学校长每月组织召开一次本科教学工作会议，专题研究教学工作计划。学校领导班子坚持深入本科教育教学第一线，为学生讲授思政课程等。在每学期开学前，检查教学工作准备情况。新生入学时，</w:t>
      </w:r>
      <w:r>
        <w:rPr>
          <w:rFonts w:hint="eastAsia" w:asciiTheme="minorEastAsia" w:hAnsiTheme="minorEastAsia" w:cstheme="minorEastAsia"/>
          <w:sz w:val="24"/>
          <w:szCs w:val="24"/>
        </w:rPr>
        <w:t>开展入学教育，对学校教学简况，学制与修业、转专业、课程学习、学分管理、课程考核与重修、考研、课程置换等教学制度进行具体的讲解和指导</w:t>
      </w:r>
      <w:r>
        <w:rPr>
          <w:rFonts w:hint="eastAsia" w:ascii="宋体" w:hAnsi="宋体" w:cs="宋体"/>
          <w:sz w:val="24"/>
          <w:szCs w:val="24"/>
        </w:rPr>
        <w:t>。学期进行中，深入课堂随堂听课，掌握课程教学情况。期末考试季，加强考风考纪监督，营造健康向上的学风氛围。</w:t>
      </w:r>
      <w:r>
        <w:rPr>
          <w:rFonts w:ascii="宋体" w:hAnsi="宋体" w:cs="宋体"/>
          <w:sz w:val="24"/>
          <w:szCs w:val="24"/>
        </w:rPr>
        <w:t>学校一直坚持校领导定点联系教学单位制度</w:t>
      </w:r>
      <w:r>
        <w:rPr>
          <w:rFonts w:hint="eastAsia" w:ascii="宋体" w:hAnsi="宋体" w:cs="宋体"/>
          <w:sz w:val="24"/>
          <w:szCs w:val="24"/>
        </w:rPr>
        <w:t>、</w:t>
      </w:r>
      <w:r>
        <w:rPr>
          <w:rFonts w:ascii="宋体" w:hAnsi="宋体" w:cs="宋体"/>
          <w:sz w:val="24"/>
          <w:szCs w:val="24"/>
        </w:rPr>
        <w:t>校领导听课制度</w:t>
      </w:r>
      <w:r>
        <w:rPr>
          <w:rFonts w:hint="eastAsia" w:ascii="宋体" w:hAnsi="宋体" w:cs="宋体"/>
          <w:sz w:val="24"/>
          <w:szCs w:val="24"/>
        </w:rPr>
        <w:t>、</w:t>
      </w:r>
      <w:r>
        <w:rPr>
          <w:rFonts w:ascii="宋体" w:hAnsi="宋体" w:cs="宋体"/>
          <w:sz w:val="24"/>
          <w:szCs w:val="24"/>
        </w:rPr>
        <w:t>参加教学质量检查</w:t>
      </w:r>
      <w:r>
        <w:rPr>
          <w:rFonts w:hint="eastAsia" w:ascii="宋体" w:hAnsi="宋体" w:cs="宋体"/>
          <w:sz w:val="24"/>
          <w:szCs w:val="24"/>
        </w:rPr>
        <w:t>、</w:t>
      </w:r>
      <w:r>
        <w:rPr>
          <w:rFonts w:ascii="宋体" w:hAnsi="宋体" w:cs="宋体"/>
          <w:sz w:val="24"/>
          <w:szCs w:val="24"/>
        </w:rPr>
        <w:t>学生座谈会</w:t>
      </w:r>
      <w:r>
        <w:rPr>
          <w:rFonts w:hint="eastAsia" w:ascii="宋体" w:hAnsi="宋体" w:cs="宋体"/>
          <w:sz w:val="24"/>
          <w:szCs w:val="24"/>
        </w:rPr>
        <w:t>、</w:t>
      </w:r>
      <w:r>
        <w:rPr>
          <w:rFonts w:ascii="宋体" w:hAnsi="宋体" w:cs="宋体"/>
          <w:sz w:val="24"/>
          <w:szCs w:val="24"/>
        </w:rPr>
        <w:t>教师座谈会</w:t>
      </w:r>
      <w:r>
        <w:rPr>
          <w:rFonts w:hint="eastAsia" w:ascii="宋体" w:hAnsi="宋体" w:cs="宋体"/>
          <w:sz w:val="24"/>
          <w:szCs w:val="24"/>
        </w:rPr>
        <w:t xml:space="preserve">、课堂教学秩序大检查、实验室检查，从领导层面、从顶层设计上，高度重视教学工作，扎实推进各项教学工作全面健康发展。 </w:t>
      </w:r>
    </w:p>
    <w:p>
      <w:pPr>
        <w:spacing w:line="400" w:lineRule="exact"/>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持续改进和完善教学管理制度</w:t>
      </w:r>
    </w:p>
    <w:p>
      <w:pPr>
        <w:spacing w:line="400" w:lineRule="exact"/>
        <w:ind w:firstLine="480" w:firstLineChars="200"/>
        <w:rPr>
          <w:rFonts w:ascii="宋体" w:hAnsi="宋体" w:cs="宋体"/>
          <w:sz w:val="24"/>
          <w:szCs w:val="24"/>
        </w:rPr>
      </w:pPr>
      <w:r>
        <w:rPr>
          <w:rFonts w:hint="eastAsia" w:ascii="宋体" w:hAnsi="宋体" w:cs="宋体"/>
          <w:sz w:val="24"/>
          <w:szCs w:val="24"/>
        </w:rPr>
        <w:t>20</w:t>
      </w:r>
      <w:r>
        <w:rPr>
          <w:rFonts w:ascii="宋体" w:hAnsi="宋体" w:cs="宋体"/>
          <w:sz w:val="24"/>
          <w:szCs w:val="24"/>
        </w:rPr>
        <w:t>21</w:t>
      </w:r>
      <w:r>
        <w:rPr>
          <w:rFonts w:hint="eastAsia" w:ascii="宋体" w:hAnsi="宋体" w:cs="宋体"/>
          <w:sz w:val="24"/>
          <w:szCs w:val="24"/>
        </w:rPr>
        <w:t>年，学校转设为独立设置的民办普通本科学校，更名为长春电子科技学院。在新的发展起点，学校全面完善规章制度，启动教学管理文件修订工作，在课程建设、考风考纪、实习管理等各个方面出台了指导意见，并以此修订和完善了相关的规章制度1</w:t>
      </w:r>
      <w:r>
        <w:rPr>
          <w:rFonts w:ascii="宋体" w:hAnsi="宋体" w:cs="宋体"/>
          <w:sz w:val="24"/>
          <w:szCs w:val="24"/>
        </w:rPr>
        <w:t>0</w:t>
      </w:r>
      <w:r>
        <w:rPr>
          <w:rFonts w:hint="eastAsia" w:ascii="宋体" w:hAnsi="宋体" w:cs="宋体"/>
          <w:sz w:val="24"/>
          <w:szCs w:val="24"/>
        </w:rPr>
        <w:t>余项。如《长春电子科技学院“十四五”课程建设规划》《教案、讲稿编写与管理实施办法》《考风考纪专项检查方案》《学院学生实习管理规定》等文件。</w:t>
      </w:r>
    </w:p>
    <w:p>
      <w:pPr>
        <w:spacing w:line="400" w:lineRule="exact"/>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.健全</w:t>
      </w:r>
      <w:r>
        <w:rPr>
          <w:rFonts w:hint="eastAsia" w:ascii="宋体" w:hAnsi="宋体" w:cs="宋体"/>
          <w:sz w:val="24"/>
          <w:szCs w:val="24"/>
        </w:rPr>
        <w:t>教学质量监控和保障体系</w:t>
      </w:r>
    </w:p>
    <w:p>
      <w:pPr>
        <w:spacing w:line="400" w:lineRule="exact"/>
        <w:ind w:firstLine="480" w:firstLineChars="200"/>
        <w:rPr>
          <w:rFonts w:ascii="宋体" w:hAnsi="宋体" w:cs="宋体"/>
          <w:sz w:val="24"/>
          <w:szCs w:val="24"/>
        </w:rPr>
      </w:pPr>
      <w:r>
        <w:rPr>
          <w:rFonts w:hint="eastAsia" w:ascii="宋体" w:hAnsi="宋体" w:cs="宋体"/>
          <w:sz w:val="24"/>
          <w:szCs w:val="24"/>
        </w:rPr>
        <w:t>⑴建立了由学校教学质量监控中心和学校二级督导组成的，专兼职相结合的教学质量监控队伍。</w:t>
      </w:r>
    </w:p>
    <w:p>
      <w:pPr>
        <w:spacing w:line="400" w:lineRule="exact"/>
        <w:ind w:firstLine="480" w:firstLineChars="200"/>
        <w:rPr>
          <w:rFonts w:ascii="宋体" w:hAnsi="宋体" w:cs="宋体"/>
          <w:sz w:val="24"/>
          <w:szCs w:val="24"/>
        </w:rPr>
      </w:pPr>
      <w:r>
        <w:rPr>
          <w:rFonts w:hint="eastAsia" w:ascii="宋体" w:hAnsi="宋体" w:cs="宋体"/>
          <w:sz w:val="24"/>
          <w:szCs w:val="24"/>
        </w:rPr>
        <w:t>⑵形成了学校领导、学院院长、学校督导组、二级督导相结合的听、查课制度，同时在学院建立了教师相互听课制度。</w:t>
      </w:r>
    </w:p>
    <w:p>
      <w:pPr>
        <w:spacing w:line="400" w:lineRule="exact"/>
        <w:ind w:firstLine="480" w:firstLineChars="200"/>
        <w:rPr>
          <w:rFonts w:ascii="宋体" w:hAnsi="宋体" w:cs="宋体"/>
          <w:sz w:val="24"/>
          <w:szCs w:val="24"/>
        </w:rPr>
      </w:pPr>
      <w:r>
        <w:rPr>
          <w:rFonts w:hint="eastAsia" w:ascii="宋体" w:hAnsi="宋体" w:cs="宋体"/>
          <w:sz w:val="24"/>
          <w:szCs w:val="24"/>
        </w:rPr>
        <w:t>⑶建立了由各班学生代表组成的“教学质量监督信息员”队伍，设立了学生教学意见信箱和教学质量监督信息员微信群，及时了解学生对教学工作的意见和述求，处理学生反映的教学质量问题。</w:t>
      </w:r>
    </w:p>
    <w:p>
      <w:pPr>
        <w:spacing w:line="400" w:lineRule="exact"/>
        <w:ind w:firstLine="480" w:firstLineChars="200"/>
        <w:rPr>
          <w:rFonts w:ascii="宋体" w:hAnsi="宋体" w:cs="宋体"/>
          <w:sz w:val="24"/>
          <w:szCs w:val="24"/>
        </w:rPr>
      </w:pPr>
      <w:r>
        <w:rPr>
          <w:rFonts w:hint="eastAsia" w:ascii="宋体" w:hAnsi="宋体" w:cs="宋体"/>
          <w:sz w:val="24"/>
          <w:szCs w:val="24"/>
        </w:rPr>
        <w:t>4.日常监控及运行、规范教学行为情况</w:t>
      </w:r>
    </w:p>
    <w:p>
      <w:pPr>
        <w:spacing w:line="400" w:lineRule="exact"/>
        <w:ind w:firstLine="480" w:firstLineChars="200"/>
        <w:rPr>
          <w:rFonts w:ascii="宋体" w:hAnsi="宋体" w:cs="宋体"/>
          <w:sz w:val="24"/>
          <w:szCs w:val="24"/>
        </w:rPr>
      </w:pPr>
      <w:r>
        <w:rPr>
          <w:rFonts w:hint="eastAsia" w:ascii="宋体" w:hAnsi="宋体" w:cs="宋体"/>
          <w:sz w:val="24"/>
          <w:szCs w:val="24"/>
        </w:rPr>
        <w:t>⑴课堂教学质量监控</w:t>
      </w:r>
    </w:p>
    <w:p>
      <w:pPr>
        <w:spacing w:line="400" w:lineRule="exact"/>
        <w:ind w:firstLine="480" w:firstLineChars="200"/>
        <w:rPr>
          <w:rFonts w:ascii="宋体" w:hAnsi="宋体" w:cs="宋体"/>
          <w:sz w:val="24"/>
          <w:szCs w:val="24"/>
        </w:rPr>
      </w:pPr>
      <w:r>
        <w:rPr>
          <w:rFonts w:hint="eastAsia" w:ascii="宋体" w:hAnsi="宋体" w:cs="宋体"/>
          <w:sz w:val="24"/>
          <w:szCs w:val="24"/>
        </w:rPr>
        <w:t>建立日常教学质量监控机制，本学年内督导听课1822学时，其中，学校领导听课学时数28学时，中层领导听课学时数56学时。</w:t>
      </w:r>
    </w:p>
    <w:p>
      <w:pPr>
        <w:spacing w:line="400" w:lineRule="exact"/>
        <w:ind w:firstLine="480" w:firstLineChars="200"/>
        <w:rPr>
          <w:rFonts w:ascii="宋体" w:hAnsi="宋体" w:cs="宋体"/>
          <w:sz w:val="24"/>
          <w:szCs w:val="24"/>
        </w:rPr>
      </w:pPr>
      <w:r>
        <w:rPr>
          <w:rFonts w:hint="eastAsia" w:ascii="宋体" w:hAnsi="宋体" w:cs="宋体"/>
          <w:sz w:val="24"/>
          <w:szCs w:val="24"/>
        </w:rPr>
        <w:t>⑵加强了思政课的教学质量检查。除学校领导听课、中层干部听课、督导重点听课外，学院对思政课教学采取集体备课，以老带新的的教学方法，不断提高思政教学质量。</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⑶建立教学质量督导（听、查课）意见反馈制度。要求督导教师听课后对发现的问题及时与教师进行沟通、解决，同时报学校督导组备案。对存在的重大问题、共性问题、屡抓不改的问题，学校督导组会在督导简报中进行通报批评。 </w:t>
      </w:r>
    </w:p>
    <w:p>
      <w:pPr>
        <w:spacing w:line="400" w:lineRule="exact"/>
        <w:ind w:firstLine="480" w:firstLineChars="200"/>
        <w:rPr>
          <w:rFonts w:ascii="宋体" w:hAnsi="宋体" w:cs="宋体"/>
          <w:sz w:val="24"/>
          <w:szCs w:val="24"/>
        </w:rPr>
      </w:pPr>
      <w:r>
        <w:rPr>
          <w:rFonts w:hint="eastAsia" w:ascii="宋体" w:hAnsi="宋体" w:cs="宋体"/>
          <w:sz w:val="24"/>
          <w:szCs w:val="24"/>
        </w:rPr>
        <w:t>⑷建立试卷、毕业设计（论文）学院自查、二级督导抽查、校督导抽查三级检查制度。</w:t>
      </w:r>
    </w:p>
    <w:p>
      <w:pPr>
        <w:spacing w:line="400" w:lineRule="exact"/>
        <w:ind w:firstLine="480" w:firstLineChars="200"/>
        <w:rPr>
          <w:rFonts w:ascii="宋体" w:hAnsi="宋体" w:cs="宋体"/>
          <w:sz w:val="24"/>
          <w:szCs w:val="24"/>
        </w:rPr>
      </w:pPr>
      <w:r>
        <w:rPr>
          <w:rFonts w:hint="eastAsia" w:ascii="宋体" w:hAnsi="宋体" w:cs="宋体"/>
          <w:sz w:val="24"/>
          <w:szCs w:val="24"/>
        </w:rPr>
        <w:t>⑸实施“检查—抽查--反馈--改进—再反馈”闭环管理，对检查结果，学院形成“自查报告”，学校督导形成“试卷检查评价表”“论文检查评价表”报送校教学质量监控中心备案。学校督导对检查结果形成“抽查结果反馈报告”反馈给相关学院。</w:t>
      </w:r>
    </w:p>
    <w:p>
      <w:pPr>
        <w:pStyle w:val="4"/>
        <w:spacing w:before="0" w:after="0" w:line="240" w:lineRule="auto"/>
        <w:rPr>
          <w:b w:val="0"/>
          <w:bCs/>
          <w:sz w:val="28"/>
          <w:szCs w:val="28"/>
        </w:rPr>
      </w:pPr>
      <w:bookmarkStart w:id="108" w:name="_Toc14478_WPSOffice_Level2"/>
      <w:bookmarkStart w:id="109" w:name="_Toc25475_WPSOffice_Level2"/>
      <w:bookmarkStart w:id="110" w:name="_Toc28373_WPSOffice_Level2"/>
      <w:bookmarkStart w:id="111" w:name="_Toc17830"/>
      <w:r>
        <w:rPr>
          <w:rFonts w:hint="eastAsia"/>
          <w:b w:val="0"/>
          <w:bCs/>
          <w:sz w:val="28"/>
          <w:szCs w:val="28"/>
        </w:rPr>
        <w:t>（二）</w:t>
      </w:r>
      <w:bookmarkStart w:id="112" w:name="_Hlk87866460"/>
      <w:r>
        <w:rPr>
          <w:rFonts w:hint="eastAsia"/>
          <w:b w:val="0"/>
          <w:bCs/>
          <w:sz w:val="28"/>
          <w:szCs w:val="28"/>
        </w:rPr>
        <w:t>监测数据采集分析</w:t>
      </w:r>
      <w:bookmarkEnd w:id="108"/>
      <w:bookmarkEnd w:id="109"/>
      <w:bookmarkEnd w:id="110"/>
      <w:bookmarkEnd w:id="111"/>
    </w:p>
    <w:bookmarkEnd w:id="112"/>
    <w:p>
      <w:pPr>
        <w:spacing w:line="400" w:lineRule="exact"/>
        <w:ind w:firstLine="480" w:firstLineChars="200"/>
        <w:rPr>
          <w:rFonts w:ascii="宋体" w:hAnsi="宋体" w:cs="仿宋"/>
          <w:sz w:val="24"/>
          <w:szCs w:val="24"/>
        </w:rPr>
      </w:pPr>
      <w:r>
        <w:rPr>
          <w:rFonts w:hint="eastAsia" w:ascii="宋体" w:hAnsi="宋体" w:cs="仿宋"/>
          <w:sz w:val="24"/>
          <w:szCs w:val="24"/>
        </w:rPr>
        <w:t>学校深入贯彻落实《关于做好“高等教育质量监测国家数据平台”2022年监测数据填报工作的通知》精神，确保统计数据的真实性、准确性、完整性和及时性，采用集中与分散相结合模式进行，由教务处牵头，以职能部门、教辅部门为主体，各院系（部）配合。从本次采集的数据可以看出，学</w:t>
      </w:r>
      <w:r>
        <w:rPr>
          <w:rFonts w:ascii="宋体" w:hAnsi="宋体" w:cs="仿宋"/>
          <w:sz w:val="24"/>
          <w:szCs w:val="24"/>
        </w:rPr>
        <w:t>校</w:t>
      </w:r>
      <w:r>
        <w:rPr>
          <w:rFonts w:hint="eastAsia" w:ascii="宋体" w:hAnsi="宋体" w:cs="仿宋"/>
          <w:sz w:val="24"/>
          <w:szCs w:val="24"/>
        </w:rPr>
        <w:t>的基础设施、软硬件等各项建设日趋完善，包括图书馆、校园网、学生的学习生活场所等，新增本科专业3个，教学科研仪器设备、图书资源、创新创业项目数量、四六级通过率等情况都有稳步提升，教学投入不断增加，学科专业结构日趋合理，但在师资队伍建设、校企合作等方面还存在不足，在今后的发展中会进一步改善，不断加强人才培养质量。</w:t>
      </w:r>
    </w:p>
    <w:p>
      <w:pPr>
        <w:pStyle w:val="4"/>
        <w:spacing w:before="0" w:after="0" w:line="240" w:lineRule="auto"/>
        <w:rPr>
          <w:b w:val="0"/>
          <w:bCs/>
          <w:sz w:val="28"/>
          <w:szCs w:val="28"/>
        </w:rPr>
      </w:pPr>
      <w:bookmarkStart w:id="113" w:name="_Toc23471_WPSOffice_Level2"/>
      <w:bookmarkStart w:id="114" w:name="_Toc16349_WPSOffice_Level2"/>
      <w:bookmarkStart w:id="115" w:name="_Toc27702"/>
      <w:bookmarkStart w:id="116" w:name="_Toc14032_WPSOffice_Level2"/>
      <w:r>
        <w:rPr>
          <w:rFonts w:hint="eastAsia"/>
          <w:b w:val="0"/>
          <w:bCs/>
          <w:sz w:val="28"/>
          <w:szCs w:val="28"/>
        </w:rPr>
        <w:t>（三）专业评估及改进情况</w:t>
      </w:r>
      <w:bookmarkEnd w:id="113"/>
      <w:bookmarkEnd w:id="114"/>
      <w:bookmarkEnd w:id="115"/>
      <w:bookmarkEnd w:id="116"/>
    </w:p>
    <w:p>
      <w:pPr>
        <w:spacing w:line="400" w:lineRule="exact"/>
        <w:ind w:firstLine="480" w:firstLineChars="200"/>
        <w:rPr>
          <w:rFonts w:ascii="宋体" w:hAnsi="宋体" w:cs="仿宋"/>
          <w:sz w:val="24"/>
          <w:szCs w:val="24"/>
        </w:rPr>
      </w:pPr>
      <w:r>
        <w:rPr>
          <w:rFonts w:hint="eastAsia" w:ascii="宋体" w:hAnsi="宋体" w:cs="仿宋"/>
          <w:sz w:val="24"/>
          <w:szCs w:val="24"/>
        </w:rPr>
        <w:t>为切实抓好专业建设，推进专业持续改进机制，打牢专业评估基础，我校高度重视专业评价整改工作，召开专业指导委员会会议，组织学校内认真讨论、学习和研究本专业评价指标体系和评价结果，深入分析问题原因，全面对照和把握指标体系实质与内涵，结合专业实际制定整改方案，提出整改目标和措施，确定整改完成时限，花大力气扎实推进专业评价整改工作。</w:t>
      </w:r>
    </w:p>
    <w:p>
      <w:pPr>
        <w:pStyle w:val="3"/>
        <w:spacing w:before="0" w:after="0" w:line="240" w:lineRule="auto"/>
        <w:jc w:val="left"/>
        <w:rPr>
          <w:rFonts w:ascii="黑体" w:hAnsi="黑体" w:eastAsia="黑体" w:cs="黑体"/>
          <w:b w:val="0"/>
          <w:bCs/>
          <w:sz w:val="30"/>
          <w:szCs w:val="30"/>
        </w:rPr>
      </w:pPr>
      <w:bookmarkStart w:id="117" w:name="_Toc10568_WPSOffice_Level1"/>
      <w:bookmarkStart w:id="118" w:name="_Toc8527_WPSOffice_Level1"/>
      <w:bookmarkStart w:id="119" w:name="_Toc19004_WPSOffice_Level1"/>
      <w:bookmarkStart w:id="120" w:name="_Toc17036"/>
      <w:r>
        <w:rPr>
          <w:rFonts w:hint="eastAsia" w:ascii="黑体" w:hAnsi="黑体" w:eastAsia="黑体" w:cs="黑体"/>
          <w:b w:val="0"/>
          <w:bCs/>
          <w:sz w:val="30"/>
          <w:szCs w:val="30"/>
        </w:rPr>
        <w:t>七、学生学习效果</w:t>
      </w:r>
      <w:bookmarkEnd w:id="117"/>
      <w:bookmarkEnd w:id="118"/>
      <w:bookmarkEnd w:id="119"/>
      <w:bookmarkEnd w:id="120"/>
    </w:p>
    <w:p>
      <w:pPr>
        <w:pStyle w:val="4"/>
        <w:spacing w:before="0" w:after="0" w:line="240" w:lineRule="auto"/>
        <w:rPr>
          <w:b w:val="0"/>
          <w:bCs/>
          <w:sz w:val="28"/>
          <w:szCs w:val="28"/>
        </w:rPr>
      </w:pPr>
      <w:bookmarkStart w:id="121" w:name="_Toc11253_WPSOffice_Level2"/>
      <w:bookmarkStart w:id="122" w:name="_Toc5869_WPSOffice_Level2"/>
      <w:bookmarkStart w:id="123" w:name="_Toc24215_WPSOffice_Level2"/>
      <w:bookmarkStart w:id="124" w:name="_Toc19750"/>
      <w:r>
        <w:rPr>
          <w:rFonts w:hint="eastAsia"/>
          <w:b w:val="0"/>
          <w:bCs/>
          <w:sz w:val="28"/>
          <w:szCs w:val="28"/>
        </w:rPr>
        <w:t>（一）学生</w:t>
      </w:r>
      <w:bookmarkEnd w:id="121"/>
      <w:bookmarkEnd w:id="122"/>
      <w:bookmarkEnd w:id="123"/>
      <w:r>
        <w:rPr>
          <w:b w:val="0"/>
          <w:bCs/>
          <w:sz w:val="28"/>
          <w:szCs w:val="28"/>
        </w:rPr>
        <w:t>学习满意度</w:t>
      </w:r>
      <w:bookmarkEnd w:id="124"/>
    </w:p>
    <w:p>
      <w:pPr>
        <w:spacing w:line="400" w:lineRule="exact"/>
        <w:ind w:firstLine="480" w:firstLineChars="200"/>
        <w:rPr>
          <w:rFonts w:ascii="宋体" w:hAnsi="宋体" w:cs="仿宋"/>
          <w:sz w:val="24"/>
          <w:szCs w:val="24"/>
        </w:rPr>
      </w:pPr>
      <w:r>
        <w:rPr>
          <w:rFonts w:hint="eastAsia" w:ascii="宋体" w:hAnsi="宋体" w:cs="仿宋"/>
          <w:sz w:val="24"/>
          <w:szCs w:val="24"/>
        </w:rPr>
        <w:t>学习是学生的头等大事，学生的学习效果是学校关注的重点。我校在学风建设中，采取严格的管理方式，以保证上课出勤率作为重点，定期开班会进行总结，效果显著。在考风建设中，辅导员、班级干部认真按照学校要求做好各班的考风考纪教育工作，以考风促学风，以学风带考风，利用网络宣传、黑板报、主题班会、心得体会交流等多种形式，采取有力措施促使本班学生树立“遵章守纪，文明应考”的正确思想。组织学生认真学习《学生守则》，认真开展考风考纪教育的相关环节工作，发挥学生干部表率作用，为学校创建优良的学风考风。组织召开学生座谈会，广泛听取学生对学校日常管理、教学管理、学生管理等方面的意见和建议，针对学生关注的问题，提出有效的解决方案。通过易班平台抽选185名学生进行学生满意度调查，其中有效问卷185份。对教学设备、学风管理、学习满意度三大方面，学生平均满意度均达到95%以上。学生对我校的建设与发展、学习环境设施、学风建设及学习基本持满意态度，满意度的提升能够带动学生学习的热情。</w:t>
      </w:r>
    </w:p>
    <w:p>
      <w:pPr>
        <w:pStyle w:val="4"/>
        <w:spacing w:before="0" w:after="0" w:line="240" w:lineRule="auto"/>
        <w:rPr>
          <w:b w:val="0"/>
          <w:bCs/>
          <w:sz w:val="28"/>
          <w:szCs w:val="28"/>
        </w:rPr>
      </w:pPr>
      <w:bookmarkStart w:id="125" w:name="_Toc18271_WPSOffice_Level2"/>
      <w:bookmarkStart w:id="126" w:name="_Toc9269_WPSOffice_Level2"/>
      <w:bookmarkStart w:id="127" w:name="_Toc30750_WPSOffice_Level2"/>
      <w:bookmarkStart w:id="128" w:name="_Toc375"/>
      <w:r>
        <w:rPr>
          <w:rFonts w:hint="eastAsia"/>
          <w:b w:val="0"/>
          <w:bCs/>
          <w:sz w:val="28"/>
          <w:szCs w:val="28"/>
        </w:rPr>
        <w:t>（二）本科生毕业与就业情况</w:t>
      </w:r>
      <w:bookmarkEnd w:id="125"/>
      <w:bookmarkEnd w:id="126"/>
      <w:bookmarkEnd w:id="127"/>
      <w:bookmarkEnd w:id="128"/>
    </w:p>
    <w:p>
      <w:pPr>
        <w:spacing w:line="400" w:lineRule="exact"/>
        <w:ind w:firstLine="480" w:firstLineChars="200"/>
        <w:rPr>
          <w:rFonts w:ascii="宋体" w:hAnsi="宋体" w:cs="仿宋"/>
          <w:bCs/>
          <w:sz w:val="24"/>
          <w:szCs w:val="24"/>
        </w:rPr>
      </w:pPr>
      <w:r>
        <w:rPr>
          <w:rFonts w:hint="eastAsia" w:ascii="宋体" w:hAnsi="宋体" w:cs="仿宋"/>
          <w:bCs/>
          <w:sz w:val="24"/>
          <w:szCs w:val="24"/>
        </w:rPr>
        <w:t>1.毕业就业情况</w:t>
      </w:r>
    </w:p>
    <w:p>
      <w:pPr>
        <w:spacing w:line="400" w:lineRule="exact"/>
        <w:ind w:firstLine="480" w:firstLineChars="200"/>
        <w:rPr>
          <w:rFonts w:ascii="宋体" w:hAnsi="宋体" w:cs="仿宋"/>
          <w:bCs/>
          <w:sz w:val="24"/>
          <w:szCs w:val="24"/>
        </w:rPr>
      </w:pPr>
      <w:r>
        <w:rPr>
          <w:rFonts w:hint="eastAsia" w:ascii="宋体" w:hAnsi="宋体" w:cs="仿宋"/>
          <w:bCs/>
          <w:sz w:val="24"/>
          <w:szCs w:val="24"/>
        </w:rPr>
        <w:t>学</w:t>
      </w:r>
      <w:r>
        <w:rPr>
          <w:rFonts w:ascii="宋体" w:hAnsi="宋体" w:cs="仿宋"/>
          <w:bCs/>
          <w:sz w:val="24"/>
          <w:szCs w:val="24"/>
        </w:rPr>
        <w:t>校</w:t>
      </w:r>
      <w:bookmarkStart w:id="129" w:name="_Hlk88031923"/>
      <w:r>
        <w:rPr>
          <w:rFonts w:hint="eastAsia" w:ascii="宋体" w:hAnsi="宋体" w:cs="仿宋"/>
          <w:bCs/>
          <w:sz w:val="24"/>
          <w:szCs w:val="24"/>
        </w:rPr>
        <w:t>2</w:t>
      </w:r>
      <w:r>
        <w:rPr>
          <w:rFonts w:ascii="宋体" w:hAnsi="宋体" w:cs="仿宋"/>
          <w:bCs/>
          <w:sz w:val="24"/>
          <w:szCs w:val="24"/>
        </w:rPr>
        <w:t>02</w:t>
      </w:r>
      <w:r>
        <w:rPr>
          <w:rFonts w:hint="eastAsia" w:ascii="宋体" w:hAnsi="宋体" w:cs="仿宋"/>
          <w:bCs/>
          <w:sz w:val="24"/>
          <w:szCs w:val="24"/>
        </w:rPr>
        <w:t>2届</w:t>
      </w:r>
      <w:bookmarkEnd w:id="129"/>
      <w:r>
        <w:rPr>
          <w:rFonts w:hint="eastAsia" w:ascii="宋体" w:hAnsi="宋体" w:cs="仿宋"/>
          <w:bCs/>
          <w:sz w:val="24"/>
          <w:szCs w:val="24"/>
        </w:rPr>
        <w:t>本科毕业生 2647人，授予学位2569人，毕业率为98.79%，学位授予率为97.05%</w:t>
      </w:r>
      <w:r>
        <w:rPr>
          <w:rFonts w:hint="eastAsia" w:ascii="宋体" w:hAnsi="宋体" w:cs="宋体"/>
          <w:sz w:val="24"/>
        </w:rPr>
        <w:t>。2022届</w:t>
      </w:r>
      <w:r>
        <w:rPr>
          <w:rFonts w:hint="eastAsia" w:ascii="宋体" w:hAnsi="宋体" w:cs="仿宋"/>
          <w:bCs/>
          <w:sz w:val="24"/>
          <w:szCs w:val="24"/>
        </w:rPr>
        <w:t>毕业生就业率达到</w:t>
      </w:r>
      <w:r>
        <w:rPr>
          <w:rFonts w:hint="eastAsia" w:ascii="宋体" w:hAnsi="宋体" w:cs="仿宋"/>
          <w:bCs/>
          <w:color w:val="00B0F0"/>
          <w:sz w:val="24"/>
          <w:szCs w:val="24"/>
          <w:lang w:val="en-US" w:eastAsia="zh-CN"/>
        </w:rPr>
        <w:t>92.63</w:t>
      </w:r>
      <w:r>
        <w:rPr>
          <w:rFonts w:hint="eastAsia" w:ascii="宋体" w:hAnsi="宋体" w:cs="仿宋"/>
          <w:bCs/>
          <w:color w:val="00B0F0"/>
          <w:sz w:val="24"/>
          <w:szCs w:val="24"/>
        </w:rPr>
        <w:t>%</w:t>
      </w:r>
      <w:r>
        <w:rPr>
          <w:rFonts w:hint="eastAsia" w:ascii="宋体" w:hAnsi="宋体" w:cs="仿宋"/>
          <w:bCs/>
          <w:sz w:val="24"/>
          <w:szCs w:val="24"/>
        </w:rPr>
        <w:t>，毕业生留省率达到38.84%。在已落实就业去向的毕业生中，签定就业协议和劳动合同形式就业的毕业生有</w:t>
      </w:r>
      <w:r>
        <w:rPr>
          <w:rFonts w:hint="eastAsia" w:ascii="宋体" w:hAnsi="宋体" w:cs="仿宋"/>
          <w:bCs/>
          <w:color w:val="00B0F0"/>
          <w:sz w:val="24"/>
          <w:szCs w:val="24"/>
          <w:lang w:val="en-US" w:eastAsia="zh-CN"/>
        </w:rPr>
        <w:t>2268</w:t>
      </w:r>
      <w:r>
        <w:rPr>
          <w:rFonts w:hint="eastAsia" w:ascii="宋体" w:hAnsi="宋体" w:cs="仿宋"/>
          <w:bCs/>
          <w:sz w:val="24"/>
          <w:szCs w:val="24"/>
        </w:rPr>
        <w:t>人，占2022年毕业生总体人数的</w:t>
      </w:r>
      <w:r>
        <w:rPr>
          <w:rFonts w:hint="eastAsia" w:ascii="宋体" w:hAnsi="宋体" w:cs="仿宋"/>
          <w:bCs/>
          <w:color w:val="00B0F0"/>
          <w:sz w:val="24"/>
          <w:szCs w:val="24"/>
          <w:lang w:val="en-US" w:eastAsia="zh-CN"/>
        </w:rPr>
        <w:t>85.68</w:t>
      </w:r>
      <w:r>
        <w:rPr>
          <w:rFonts w:hint="eastAsia" w:ascii="宋体" w:hAnsi="宋体" w:cs="仿宋"/>
          <w:bCs/>
          <w:color w:val="00B0F0"/>
          <w:sz w:val="24"/>
          <w:szCs w:val="24"/>
        </w:rPr>
        <w:t>%</w:t>
      </w:r>
      <w:r>
        <w:rPr>
          <w:rFonts w:hint="eastAsia" w:ascii="宋体" w:hAnsi="宋体" w:cs="仿宋"/>
          <w:bCs/>
          <w:sz w:val="24"/>
          <w:szCs w:val="24"/>
        </w:rPr>
        <w:t>；自主创业的毕业生有5人，占2022年毕业生总体人数的0.19%；灵活就业的毕业生有70人，占2022年毕业生总体人数的</w:t>
      </w:r>
      <w:r>
        <w:rPr>
          <w:rFonts w:hint="eastAsia" w:ascii="宋体" w:hAnsi="宋体" w:cs="仿宋"/>
          <w:bCs/>
          <w:color w:val="00B0F0"/>
          <w:sz w:val="24"/>
          <w:szCs w:val="24"/>
        </w:rPr>
        <w:t>2.64</w:t>
      </w:r>
      <w:r>
        <w:rPr>
          <w:rFonts w:hint="eastAsia" w:ascii="宋体" w:hAnsi="宋体" w:cs="仿宋"/>
          <w:bCs/>
          <w:sz w:val="24"/>
          <w:szCs w:val="24"/>
        </w:rPr>
        <w:t>%；升学（含出国）的毕业生有</w:t>
      </w:r>
      <w:r>
        <w:rPr>
          <w:rFonts w:hint="eastAsia" w:ascii="宋体" w:hAnsi="宋体" w:cs="仿宋"/>
          <w:bCs/>
          <w:sz w:val="24"/>
          <w:szCs w:val="24"/>
          <w:lang w:val="en-US" w:eastAsia="zh-CN"/>
        </w:rPr>
        <w:t>135</w:t>
      </w:r>
      <w:r>
        <w:rPr>
          <w:rFonts w:hint="eastAsia" w:ascii="宋体" w:hAnsi="宋体" w:cs="仿宋"/>
          <w:bCs/>
          <w:sz w:val="24"/>
          <w:szCs w:val="24"/>
        </w:rPr>
        <w:t>人，占2022年毕业生总体人数的</w:t>
      </w:r>
      <w:r>
        <w:rPr>
          <w:rFonts w:hint="eastAsia" w:ascii="宋体" w:hAnsi="宋体" w:cs="仿宋"/>
          <w:bCs/>
          <w:sz w:val="24"/>
          <w:szCs w:val="24"/>
          <w:lang w:val="en-US" w:eastAsia="zh-CN"/>
        </w:rPr>
        <w:t>5.12</w:t>
      </w:r>
      <w:r>
        <w:rPr>
          <w:rFonts w:hint="eastAsia" w:ascii="宋体" w:hAnsi="宋体" w:cs="仿宋"/>
          <w:bCs/>
          <w:sz w:val="24"/>
          <w:szCs w:val="24"/>
        </w:rPr>
        <w:t>%；待就业的毕业生有</w:t>
      </w:r>
      <w:r>
        <w:rPr>
          <w:rFonts w:hint="eastAsia" w:ascii="宋体" w:hAnsi="宋体" w:cs="仿宋"/>
          <w:bCs/>
          <w:color w:val="00B0F0"/>
          <w:sz w:val="24"/>
          <w:szCs w:val="24"/>
          <w:lang w:val="en-US" w:eastAsia="zh-CN"/>
        </w:rPr>
        <w:t>146</w:t>
      </w:r>
      <w:r>
        <w:rPr>
          <w:rFonts w:hint="eastAsia" w:ascii="宋体" w:hAnsi="宋体" w:cs="仿宋"/>
          <w:bCs/>
          <w:sz w:val="24"/>
          <w:szCs w:val="24"/>
        </w:rPr>
        <w:t>人，占2022年毕业生总体人数的</w:t>
      </w:r>
      <w:r>
        <w:rPr>
          <w:rFonts w:hint="eastAsia" w:ascii="宋体" w:hAnsi="宋体" w:cs="仿宋"/>
          <w:bCs/>
          <w:color w:val="00B0F0"/>
          <w:sz w:val="24"/>
          <w:szCs w:val="24"/>
          <w:lang w:val="en-US" w:eastAsia="zh-CN"/>
        </w:rPr>
        <w:t>5.52</w:t>
      </w:r>
      <w:r>
        <w:rPr>
          <w:rFonts w:hint="eastAsia" w:ascii="宋体" w:hAnsi="宋体" w:cs="仿宋"/>
          <w:bCs/>
          <w:color w:val="00B0F0"/>
          <w:sz w:val="24"/>
          <w:szCs w:val="24"/>
        </w:rPr>
        <w:t>%</w:t>
      </w:r>
      <w:r>
        <w:rPr>
          <w:rFonts w:hint="eastAsia" w:ascii="宋体" w:hAnsi="宋体" w:cs="仿宋"/>
          <w:bCs/>
          <w:sz w:val="24"/>
          <w:szCs w:val="24"/>
        </w:rPr>
        <w:t>；暂不就业的毕业生有</w:t>
      </w:r>
      <w:r>
        <w:rPr>
          <w:rFonts w:hint="eastAsia" w:ascii="宋体" w:hAnsi="宋体" w:cs="仿宋"/>
          <w:bCs/>
          <w:sz w:val="24"/>
          <w:szCs w:val="24"/>
          <w:lang w:val="en-US" w:eastAsia="zh-CN"/>
        </w:rPr>
        <w:t>49</w:t>
      </w:r>
      <w:r>
        <w:rPr>
          <w:rFonts w:hint="eastAsia" w:ascii="宋体" w:hAnsi="宋体" w:cs="仿宋"/>
          <w:bCs/>
          <w:sz w:val="24"/>
          <w:szCs w:val="24"/>
        </w:rPr>
        <w:t>人，占2022年毕业生总体人数的</w:t>
      </w:r>
      <w:r>
        <w:rPr>
          <w:rFonts w:hint="eastAsia" w:ascii="宋体" w:hAnsi="宋体" w:cs="仿宋"/>
          <w:bCs/>
          <w:sz w:val="24"/>
          <w:szCs w:val="24"/>
          <w:lang w:val="en-US" w:eastAsia="zh-CN"/>
        </w:rPr>
        <w:t>1.85</w:t>
      </w:r>
      <w:r>
        <w:rPr>
          <w:rFonts w:hint="eastAsia" w:ascii="宋体" w:hAnsi="宋体" w:cs="仿宋"/>
          <w:bCs/>
          <w:sz w:val="24"/>
          <w:szCs w:val="24"/>
        </w:rPr>
        <w:t>%。</w:t>
      </w:r>
    </w:p>
    <w:p>
      <w:pPr>
        <w:spacing w:before="156" w:beforeLines="50"/>
        <w:jc w:val="center"/>
        <w:rPr>
          <w:rFonts w:hint="eastAsia" w:ascii="宋体" w:hAnsi="宋体"/>
          <w:szCs w:val="21"/>
        </w:rPr>
      </w:pPr>
      <w:r>
        <w:rPr>
          <w:rFonts w:hint="eastAsia" w:ascii="宋体" w:hAnsi="宋体"/>
          <w:szCs w:val="21"/>
        </w:rPr>
        <w:t>表2 2022届毕业生就业去向分布</w:t>
      </w:r>
    </w:p>
    <w:tbl>
      <w:tblPr>
        <w:tblStyle w:val="16"/>
        <w:tblW w:w="78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31"/>
        <w:gridCol w:w="202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23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毕业去向</w:t>
            </w:r>
          </w:p>
        </w:tc>
        <w:tc>
          <w:tcPr>
            <w:tcW w:w="20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人数</w:t>
            </w:r>
          </w:p>
        </w:tc>
        <w:tc>
          <w:tcPr>
            <w:tcW w:w="25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总人数</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2647</w:t>
            </w:r>
          </w:p>
        </w:tc>
        <w:tc>
          <w:tcPr>
            <w:tcW w:w="2595" w:type="dxa"/>
            <w:tcBorders>
              <w:top w:val="nil"/>
              <w:left w:val="nil"/>
              <w:bottom w:val="single" w:color="000000" w:sz="8"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毕业去向落实率</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2452</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92.63%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毕业去向留省率</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844</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38.84%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签订协议和劳务合同</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2268</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85.68%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自主创业</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灵活就业</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2.</w:t>
            </w:r>
            <w:r>
              <w:rPr>
                <w:rFonts w:hint="eastAsia" w:cs="Times New Roman"/>
                <w:i w:val="0"/>
                <w:iCs w:val="0"/>
                <w:color w:val="0000FF"/>
                <w:kern w:val="0"/>
                <w:sz w:val="21"/>
                <w:szCs w:val="21"/>
                <w:u w:val="none"/>
                <w:lang w:val="en-US" w:eastAsia="zh-CN" w:bidi="ar"/>
              </w:rPr>
              <w:t>64</w:t>
            </w:r>
            <w:r>
              <w:rPr>
                <w:rFonts w:hint="default" w:ascii="Times New Roman" w:hAnsi="Times New Roman" w:eastAsia="宋体" w:cs="Times New Roman"/>
                <w:i w:val="0"/>
                <w:iCs w:val="0"/>
                <w:color w:val="0000FF"/>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灵活就业中的自由职业</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升学（含出国）</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135</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eastAsia" w:cs="Times New Roman"/>
                <w:i w:val="0"/>
                <w:iCs w:val="0"/>
                <w:color w:val="0000FF"/>
                <w:kern w:val="0"/>
                <w:sz w:val="21"/>
                <w:szCs w:val="21"/>
                <w:u w:val="none"/>
                <w:lang w:val="en-US" w:eastAsia="zh-CN" w:bidi="ar"/>
              </w:rPr>
              <w:t>5.12</w:t>
            </w:r>
            <w:r>
              <w:rPr>
                <w:rFonts w:hint="default" w:ascii="Times New Roman" w:hAnsi="Times New Roman" w:eastAsia="宋体" w:cs="Times New Roman"/>
                <w:i w:val="0"/>
                <w:iCs w:val="0"/>
                <w:color w:val="0000FF"/>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待就业</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暂不就业</w:t>
            </w:r>
          </w:p>
        </w:tc>
        <w:tc>
          <w:tcPr>
            <w:tcW w:w="202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25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1"/>
                <w:szCs w:val="21"/>
                <w:u w:val="none"/>
              </w:rPr>
            </w:pPr>
            <w:r>
              <w:rPr>
                <w:rFonts w:hint="default" w:ascii="Times New Roman" w:hAnsi="Times New Roman" w:eastAsia="宋体" w:cs="Times New Roman"/>
                <w:i w:val="0"/>
                <w:iCs w:val="0"/>
                <w:color w:val="0000FF"/>
                <w:kern w:val="0"/>
                <w:sz w:val="21"/>
                <w:szCs w:val="21"/>
                <w:u w:val="none"/>
                <w:lang w:val="en-US" w:eastAsia="zh-CN" w:bidi="ar"/>
              </w:rPr>
              <w:t>1.85%</w:t>
            </w:r>
          </w:p>
        </w:tc>
      </w:tr>
    </w:tbl>
    <w:p>
      <w:pPr>
        <w:pStyle w:val="2"/>
      </w:pPr>
    </w:p>
    <w:p>
      <w:pPr>
        <w:spacing w:before="156" w:beforeLines="50" w:line="400" w:lineRule="exact"/>
        <w:ind w:firstLine="480" w:firstLineChars="200"/>
        <w:rPr>
          <w:rFonts w:ascii="宋体" w:hAnsi="宋体" w:cs="仿宋"/>
          <w:bCs/>
          <w:sz w:val="24"/>
          <w:szCs w:val="24"/>
        </w:rPr>
      </w:pPr>
      <w:r>
        <w:rPr>
          <w:rFonts w:hint="eastAsia" w:ascii="宋体" w:hAnsi="宋体" w:cs="仿宋"/>
          <w:bCs/>
          <w:sz w:val="24"/>
          <w:szCs w:val="24"/>
        </w:rPr>
        <w:t>2</w:t>
      </w:r>
      <w:r>
        <w:rPr>
          <w:rFonts w:ascii="宋体" w:hAnsi="宋体" w:cs="仿宋"/>
          <w:bCs/>
          <w:sz w:val="24"/>
          <w:szCs w:val="24"/>
        </w:rPr>
        <w:t>.</w:t>
      </w:r>
      <w:r>
        <w:rPr>
          <w:rFonts w:hint="eastAsia" w:ascii="宋体" w:hAnsi="宋体" w:cs="仿宋"/>
          <w:bCs/>
          <w:sz w:val="24"/>
          <w:szCs w:val="24"/>
        </w:rPr>
        <w:t>社会用人单位对毕业生评价</w:t>
      </w:r>
    </w:p>
    <w:p>
      <w:pPr>
        <w:spacing w:line="400" w:lineRule="exact"/>
        <w:ind w:firstLine="480" w:firstLineChars="200"/>
        <w:rPr>
          <w:rFonts w:ascii="宋体" w:hAnsi="宋体" w:cs="宋体"/>
          <w:sz w:val="24"/>
        </w:rPr>
      </w:pPr>
      <w:r>
        <w:rPr>
          <w:rFonts w:hint="eastAsia" w:ascii="宋体" w:hAnsi="宋体" w:cs="宋体"/>
          <w:sz w:val="24"/>
        </w:rPr>
        <w:t>2022年，学校对200余家招录我校毕业生的用人单位进行了问卷调研，用人单位对我校人培养质量给予了充分肯定，普遍认为我校毕业生具有几个方面的特点：92%的企业认为我校毕业生理论基础扎实，专业实践动手能力强；93%的企业认为我校毕业生团队合作意识和敬业精神比较突出，工作中能吃苦耐劳；88%的企业认为我校毕业生综合素质高，具有一定的科研能力和创新精神；90%的企业认为我校毕业生具有较强的执行能力，同时拥有鲜明的组织观念和大局意识，能够认真遵守企业相关规章制度，做到工作、学习上高标准、严要求，较好的完成了从大学生到职场新人的角色转变，能够迅速地适应新的工作环境；96%的用人单位“非常满意”和“比较满意”我校毕业生在工作中的表现，对我校毕业生的整体评价较高，普遍反映我校毕业生专业知识扎实、头脑灵活、适应性强、具有良好的敬业精神等优点；91%的企业认为我校毕业生在岗位上能安心工作，认为学生的成绩显著,并且有长期的职业生涯规划。总体来说，来校招聘的企业中对我校大学生综合评价较高，98%企业表示我校毕业生能胜任工作，只有2%企业认为我校大学生职业胜任力有待提高。</w:t>
      </w:r>
    </w:p>
    <w:p>
      <w:pPr>
        <w:spacing w:line="400" w:lineRule="exact"/>
        <w:ind w:firstLine="480"/>
        <w:rPr>
          <w:rFonts w:ascii="宋体" w:hAnsi="宋体" w:cs="仿宋"/>
          <w:bCs/>
          <w:sz w:val="24"/>
          <w:szCs w:val="24"/>
        </w:rPr>
      </w:pPr>
      <w:r>
        <w:rPr>
          <w:rFonts w:hint="eastAsia" w:ascii="宋体" w:hAnsi="宋体" w:cs="仿宋"/>
          <w:bCs/>
          <w:sz w:val="24"/>
          <w:szCs w:val="24"/>
        </w:rPr>
        <w:t>3.毕业生成就</w:t>
      </w:r>
    </w:p>
    <w:p>
      <w:pPr>
        <w:spacing w:line="400" w:lineRule="exact"/>
        <w:ind w:firstLine="480" w:firstLineChars="200"/>
        <w:rPr>
          <w:rFonts w:ascii="宋体" w:hAnsi="宋体" w:cs="宋体"/>
          <w:color w:val="0000FF"/>
          <w:sz w:val="24"/>
        </w:rPr>
      </w:pPr>
      <w:r>
        <w:rPr>
          <w:rFonts w:hint="eastAsia" w:ascii="宋体" w:hAnsi="宋体" w:cs="宋体"/>
          <w:color w:val="0000FF"/>
          <w:sz w:val="24"/>
        </w:rPr>
        <w:t>我校2022年毕业生共2647人，就业人数</w:t>
      </w:r>
      <w:r>
        <w:rPr>
          <w:rFonts w:hint="eastAsia" w:ascii="宋体" w:hAnsi="宋体" w:cs="宋体"/>
          <w:color w:val="0000FF"/>
          <w:sz w:val="24"/>
          <w:lang w:val="en-US" w:eastAsia="zh-CN"/>
        </w:rPr>
        <w:t>2452</w:t>
      </w:r>
      <w:r>
        <w:rPr>
          <w:rFonts w:hint="eastAsia" w:ascii="宋体" w:hAnsi="宋体" w:cs="宋体"/>
          <w:color w:val="0000FF"/>
          <w:sz w:val="24"/>
        </w:rPr>
        <w:t>人。其中，毕业生有</w:t>
      </w:r>
      <w:r>
        <w:rPr>
          <w:rFonts w:hint="eastAsia" w:ascii="宋体" w:hAnsi="宋体" w:cs="宋体"/>
          <w:color w:val="0000FF"/>
          <w:sz w:val="24"/>
          <w:lang w:val="en-US" w:eastAsia="zh-CN"/>
        </w:rPr>
        <w:t>32</w:t>
      </w:r>
      <w:r>
        <w:rPr>
          <w:rFonts w:hint="eastAsia" w:ascii="宋体" w:hAnsi="宋体" w:cs="宋体"/>
          <w:color w:val="0000FF"/>
          <w:sz w:val="24"/>
        </w:rPr>
        <w:t>人就业于政府机关部门，有1人就业于科研设计单位，有17人就业于中初教育单位，有</w:t>
      </w:r>
      <w:r>
        <w:rPr>
          <w:rFonts w:hint="eastAsia" w:ascii="宋体" w:hAnsi="宋体" w:cs="宋体"/>
          <w:color w:val="0000FF"/>
          <w:sz w:val="24"/>
          <w:lang w:val="en-US" w:eastAsia="zh-CN"/>
        </w:rPr>
        <w:t>13</w:t>
      </w:r>
      <w:r>
        <w:rPr>
          <w:rFonts w:hint="eastAsia" w:ascii="宋体" w:hAnsi="宋体" w:cs="宋体"/>
          <w:color w:val="0000FF"/>
          <w:sz w:val="24"/>
        </w:rPr>
        <w:t>人就业于医疗卫生单位，有</w:t>
      </w:r>
      <w:r>
        <w:rPr>
          <w:rFonts w:hint="eastAsia" w:ascii="宋体" w:hAnsi="宋体" w:cs="宋体"/>
          <w:color w:val="0000FF"/>
          <w:sz w:val="24"/>
          <w:lang w:val="en-US" w:eastAsia="zh-CN"/>
        </w:rPr>
        <w:t>44</w:t>
      </w:r>
      <w:r>
        <w:rPr>
          <w:rFonts w:hint="eastAsia" w:ascii="宋体" w:hAnsi="宋体" w:cs="宋体"/>
          <w:color w:val="0000FF"/>
          <w:sz w:val="24"/>
        </w:rPr>
        <w:t>人就业于其他事业单位，有</w:t>
      </w:r>
      <w:r>
        <w:rPr>
          <w:rFonts w:hint="eastAsia" w:ascii="宋体" w:hAnsi="宋体" w:cs="宋体"/>
          <w:color w:val="0000FF"/>
          <w:sz w:val="24"/>
          <w:lang w:val="en-US" w:eastAsia="zh-CN"/>
        </w:rPr>
        <w:t>209</w:t>
      </w:r>
      <w:r>
        <w:rPr>
          <w:rFonts w:hint="eastAsia" w:ascii="宋体" w:hAnsi="宋体" w:cs="宋体"/>
          <w:color w:val="0000FF"/>
          <w:sz w:val="24"/>
        </w:rPr>
        <w:t>人就业于大型国有企业，有</w:t>
      </w:r>
      <w:r>
        <w:rPr>
          <w:rFonts w:hint="eastAsia" w:ascii="宋体" w:hAnsi="宋体" w:cs="宋体"/>
          <w:color w:val="0000FF"/>
          <w:sz w:val="24"/>
          <w:lang w:val="en-US" w:eastAsia="zh-CN"/>
        </w:rPr>
        <w:t>173</w:t>
      </w:r>
      <w:r>
        <w:rPr>
          <w:rFonts w:hint="eastAsia" w:ascii="宋体" w:hAnsi="宋体" w:cs="宋体"/>
          <w:color w:val="0000FF"/>
          <w:sz w:val="24"/>
        </w:rPr>
        <w:t>人就业于三资企业，有</w:t>
      </w:r>
      <w:r>
        <w:rPr>
          <w:rFonts w:hint="eastAsia" w:ascii="宋体" w:hAnsi="宋体" w:cs="宋体"/>
          <w:color w:val="0000FF"/>
          <w:sz w:val="24"/>
          <w:lang w:val="en-US" w:eastAsia="zh-CN"/>
        </w:rPr>
        <w:t>987</w:t>
      </w:r>
      <w:r>
        <w:rPr>
          <w:rFonts w:hint="eastAsia" w:ascii="宋体" w:hAnsi="宋体" w:cs="宋体"/>
          <w:color w:val="0000FF"/>
          <w:sz w:val="24"/>
        </w:rPr>
        <w:t>人就业于民营企业，有17人应征义务兵，有</w:t>
      </w:r>
      <w:r>
        <w:rPr>
          <w:rFonts w:hint="eastAsia" w:ascii="宋体" w:hAnsi="宋体" w:cs="宋体"/>
          <w:color w:val="0000FF"/>
          <w:sz w:val="24"/>
          <w:lang w:val="en-US" w:eastAsia="zh-CN"/>
        </w:rPr>
        <w:t>135</w:t>
      </w:r>
      <w:r>
        <w:rPr>
          <w:rFonts w:hint="eastAsia" w:ascii="宋体" w:hAnsi="宋体" w:cs="宋体"/>
          <w:color w:val="0000FF"/>
          <w:sz w:val="24"/>
        </w:rPr>
        <w:t>人升学，有3人就业于农村建制村，有</w:t>
      </w:r>
      <w:r>
        <w:rPr>
          <w:rFonts w:hint="eastAsia" w:ascii="宋体" w:hAnsi="宋体" w:cs="宋体"/>
          <w:color w:val="0000FF"/>
          <w:sz w:val="24"/>
          <w:lang w:val="en-US" w:eastAsia="zh-CN"/>
        </w:rPr>
        <w:t>2</w:t>
      </w:r>
      <w:r>
        <w:rPr>
          <w:rFonts w:hint="eastAsia" w:ascii="宋体" w:hAnsi="宋体" w:cs="宋体"/>
          <w:color w:val="0000FF"/>
          <w:sz w:val="24"/>
        </w:rPr>
        <w:t xml:space="preserve">6人就业于城镇社区，有822人就业于其他企业。 </w:t>
      </w:r>
    </w:p>
    <w:p>
      <w:pPr>
        <w:autoSpaceDE w:val="0"/>
        <w:autoSpaceDN w:val="0"/>
        <w:adjustRightInd w:val="0"/>
        <w:spacing w:line="400" w:lineRule="exact"/>
        <w:ind w:firstLine="480" w:firstLineChars="200"/>
        <w:jc w:val="left"/>
        <w:rPr>
          <w:rFonts w:ascii="宋体" w:hAnsi="宋体" w:cs="宋体"/>
          <w:color w:val="0000FF"/>
          <w:sz w:val="24"/>
        </w:rPr>
      </w:pPr>
      <w:r>
        <w:rPr>
          <w:rFonts w:hint="eastAsia" w:ascii="宋体" w:hAnsi="宋体" w:cs="宋体"/>
          <w:color w:val="0000FF"/>
          <w:sz w:val="24"/>
        </w:rPr>
        <w:t>从事公务员岗位的有8人，科学研究人员29人，工程技术人员460人，农林牧渔业技术人员9人，卫生专业技术人员4人，经济业务人员97人，金融业务人员62人，法律专业人员1人，教学人员38人，文学艺术工作人员27人，新闻出版和文化工作人员</w:t>
      </w:r>
      <w:r>
        <w:rPr>
          <w:rFonts w:hint="eastAsia" w:ascii="宋体" w:hAnsi="宋体" w:cs="宋体"/>
          <w:color w:val="0000FF"/>
          <w:sz w:val="24"/>
          <w:lang w:val="en-US" w:eastAsia="zh-CN"/>
        </w:rPr>
        <w:t>11</w:t>
      </w:r>
      <w:r>
        <w:rPr>
          <w:rFonts w:hint="eastAsia" w:ascii="宋体" w:hAnsi="宋体" w:cs="宋体"/>
          <w:color w:val="0000FF"/>
          <w:sz w:val="24"/>
        </w:rPr>
        <w:t>人，其他专业技术人员</w:t>
      </w:r>
      <w:r>
        <w:rPr>
          <w:rFonts w:hint="eastAsia" w:ascii="宋体" w:hAnsi="宋体" w:cs="宋体"/>
          <w:color w:val="0000FF"/>
          <w:sz w:val="24"/>
          <w:lang w:val="en-US" w:eastAsia="zh-CN"/>
        </w:rPr>
        <w:t>227</w:t>
      </w:r>
      <w:r>
        <w:rPr>
          <w:rFonts w:hint="eastAsia" w:ascii="宋体" w:hAnsi="宋体" w:cs="宋体"/>
          <w:color w:val="0000FF"/>
          <w:sz w:val="24"/>
        </w:rPr>
        <w:t>人，办事人员和有关人员</w:t>
      </w:r>
      <w:r>
        <w:rPr>
          <w:rFonts w:hint="eastAsia" w:ascii="宋体" w:hAnsi="宋体" w:cs="宋体"/>
          <w:color w:val="0000FF"/>
          <w:sz w:val="24"/>
          <w:lang w:val="en-US" w:eastAsia="zh-CN"/>
        </w:rPr>
        <w:t>124</w:t>
      </w:r>
      <w:r>
        <w:rPr>
          <w:rFonts w:hint="eastAsia" w:ascii="宋体" w:hAnsi="宋体" w:cs="宋体"/>
          <w:color w:val="0000FF"/>
          <w:sz w:val="24"/>
        </w:rPr>
        <w:t>人，商业和服务业人员1</w:t>
      </w:r>
      <w:r>
        <w:rPr>
          <w:rFonts w:hint="eastAsia" w:ascii="宋体" w:hAnsi="宋体" w:cs="宋体"/>
          <w:color w:val="0000FF"/>
          <w:sz w:val="24"/>
          <w:lang w:val="en-US" w:eastAsia="zh-CN"/>
        </w:rPr>
        <w:t>50</w:t>
      </w:r>
      <w:r>
        <w:rPr>
          <w:rFonts w:hint="eastAsia" w:ascii="宋体" w:hAnsi="宋体" w:cs="宋体"/>
          <w:color w:val="0000FF"/>
          <w:sz w:val="24"/>
        </w:rPr>
        <w:t>人，生产和运输设备操作人员</w:t>
      </w:r>
      <w:r>
        <w:rPr>
          <w:rFonts w:hint="eastAsia" w:ascii="宋体" w:hAnsi="宋体" w:cs="宋体"/>
          <w:color w:val="0000FF"/>
          <w:sz w:val="24"/>
          <w:lang w:val="en-US" w:eastAsia="zh-CN"/>
        </w:rPr>
        <w:t>73</w:t>
      </w:r>
      <w:r>
        <w:rPr>
          <w:rFonts w:hint="eastAsia" w:ascii="宋体" w:hAnsi="宋体" w:cs="宋体"/>
          <w:color w:val="0000FF"/>
          <w:sz w:val="24"/>
        </w:rPr>
        <w:t>人，其他人员</w:t>
      </w:r>
      <w:r>
        <w:rPr>
          <w:rFonts w:hint="eastAsia" w:ascii="宋体" w:hAnsi="宋体" w:cs="宋体"/>
          <w:color w:val="0000FF"/>
          <w:sz w:val="24"/>
          <w:lang w:val="en-US" w:eastAsia="zh-CN"/>
        </w:rPr>
        <w:t>1132</w:t>
      </w:r>
      <w:r>
        <w:rPr>
          <w:rFonts w:hint="eastAsia" w:ascii="宋体" w:hAnsi="宋体" w:cs="宋体"/>
          <w:color w:val="0000FF"/>
          <w:sz w:val="24"/>
        </w:rPr>
        <w:t xml:space="preserve">人。  </w:t>
      </w:r>
    </w:p>
    <w:p>
      <w:pPr>
        <w:pStyle w:val="3"/>
        <w:spacing w:before="0" w:after="0" w:line="240" w:lineRule="auto"/>
        <w:jc w:val="left"/>
        <w:rPr>
          <w:rFonts w:ascii="黑体" w:hAnsi="黑体" w:eastAsia="黑体" w:cs="黑体"/>
          <w:b w:val="0"/>
          <w:bCs/>
          <w:sz w:val="30"/>
          <w:szCs w:val="30"/>
        </w:rPr>
      </w:pPr>
      <w:bookmarkStart w:id="130" w:name="_Toc9005_WPSOffice_Level1"/>
      <w:bookmarkStart w:id="131" w:name="_Toc12627"/>
      <w:bookmarkStart w:id="132" w:name="_Toc12232_WPSOffice_Level1"/>
      <w:bookmarkStart w:id="133" w:name="_Toc9380_WPSOffice_Level1"/>
      <w:r>
        <w:rPr>
          <w:rFonts w:hint="eastAsia" w:ascii="黑体" w:hAnsi="黑体" w:eastAsia="黑体" w:cs="黑体"/>
          <w:b w:val="0"/>
          <w:bCs/>
          <w:sz w:val="30"/>
          <w:szCs w:val="30"/>
        </w:rPr>
        <w:t>八、特色发展</w:t>
      </w:r>
      <w:bookmarkEnd w:id="130"/>
      <w:bookmarkEnd w:id="131"/>
      <w:bookmarkEnd w:id="132"/>
      <w:bookmarkEnd w:id="133"/>
    </w:p>
    <w:p>
      <w:pPr>
        <w:autoSpaceDE w:val="0"/>
        <w:autoSpaceDN w:val="0"/>
        <w:adjustRightInd w:val="0"/>
        <w:spacing w:line="400" w:lineRule="exact"/>
        <w:ind w:firstLine="480" w:firstLineChars="200"/>
        <w:rPr>
          <w:rFonts w:ascii="宋体" w:hAnsi="宋体" w:cs="宋体"/>
          <w:sz w:val="24"/>
          <w:lang w:eastAsia="zh-Hans"/>
        </w:rPr>
      </w:pPr>
      <w:bookmarkStart w:id="134" w:name="_Toc7739_WPSOffice_Level1"/>
      <w:bookmarkStart w:id="135" w:name="_Toc27252_WPSOffice_Level1"/>
      <w:bookmarkStart w:id="136" w:name="_Toc10828_WPSOffice_Level1"/>
      <w:r>
        <w:rPr>
          <w:rFonts w:hint="eastAsia" w:ascii="宋体" w:hAnsi="宋体" w:cs="宋体"/>
          <w:sz w:val="24"/>
        </w:rPr>
        <w:t>通过多年的探索与实践，学校在教育教学上形成了自己的特色。学科专业上形成了“</w:t>
      </w:r>
      <w:r>
        <w:rPr>
          <w:rFonts w:ascii="宋体" w:hAnsi="宋体" w:cs="宋体"/>
          <w:sz w:val="24"/>
        </w:rPr>
        <w:t>光</w:t>
      </w:r>
      <w:r>
        <w:rPr>
          <w:rFonts w:hint="eastAsia" w:ascii="宋体" w:hAnsi="宋体" w:cs="宋体"/>
          <w:sz w:val="24"/>
        </w:rPr>
        <w:t>、</w:t>
      </w:r>
      <w:r>
        <w:rPr>
          <w:rFonts w:ascii="宋体" w:hAnsi="宋体" w:cs="宋体"/>
          <w:sz w:val="24"/>
        </w:rPr>
        <w:t>机</w:t>
      </w:r>
      <w:r>
        <w:rPr>
          <w:rFonts w:hint="eastAsia" w:ascii="宋体" w:hAnsi="宋体" w:cs="宋体"/>
          <w:sz w:val="24"/>
        </w:rPr>
        <w:t>、</w:t>
      </w:r>
      <w:r>
        <w:rPr>
          <w:rFonts w:ascii="宋体" w:hAnsi="宋体" w:cs="宋体"/>
          <w:sz w:val="24"/>
        </w:rPr>
        <w:t>电</w:t>
      </w:r>
      <w:r>
        <w:rPr>
          <w:rFonts w:hint="eastAsia" w:ascii="宋体" w:hAnsi="宋体" w:cs="宋体"/>
          <w:sz w:val="24"/>
        </w:rPr>
        <w:t>、</w:t>
      </w:r>
      <w:r>
        <w:rPr>
          <w:rFonts w:ascii="宋体" w:hAnsi="宋体" w:cs="宋体"/>
          <w:sz w:val="24"/>
        </w:rPr>
        <w:t>算</w:t>
      </w:r>
      <w:r>
        <w:rPr>
          <w:rFonts w:hint="eastAsia" w:ascii="宋体" w:hAnsi="宋体" w:cs="宋体"/>
          <w:sz w:val="24"/>
        </w:rPr>
        <w:t>”</w:t>
      </w:r>
      <w:r>
        <w:rPr>
          <w:rFonts w:ascii="宋体" w:hAnsi="宋体" w:cs="宋体"/>
          <w:sz w:val="24"/>
        </w:rPr>
        <w:t>工科优势特色专业</w:t>
      </w:r>
      <w:r>
        <w:rPr>
          <w:rFonts w:hint="eastAsia" w:ascii="宋体" w:hAnsi="宋体" w:cs="宋体"/>
          <w:sz w:val="24"/>
        </w:rPr>
        <w:t>，服务于经济社会发展需求，实现区域行业转型升级与应用型人才培养的互动，构建以“光、机、电、算”为龙头，以集群发展为平台，特色鲜明，优势突出、多学科协调发展的专业体系。人才培养模式上形成了</w:t>
      </w:r>
      <w:r>
        <w:rPr>
          <w:rFonts w:ascii="宋体" w:hAnsi="宋体" w:cs="宋体"/>
          <w:sz w:val="24"/>
        </w:rPr>
        <w:t>产</w:t>
      </w:r>
      <w:r>
        <w:rPr>
          <w:rFonts w:hint="eastAsia" w:ascii="宋体" w:hAnsi="宋体" w:cs="宋体"/>
          <w:sz w:val="24"/>
        </w:rPr>
        <w:t>、</w:t>
      </w:r>
      <w:r>
        <w:rPr>
          <w:rFonts w:ascii="宋体" w:hAnsi="宋体" w:cs="宋体"/>
          <w:sz w:val="24"/>
        </w:rPr>
        <w:t>学</w:t>
      </w:r>
      <w:r>
        <w:rPr>
          <w:rFonts w:hint="eastAsia" w:ascii="宋体" w:hAnsi="宋体" w:cs="宋体"/>
          <w:sz w:val="24"/>
        </w:rPr>
        <w:t>、</w:t>
      </w:r>
      <w:r>
        <w:rPr>
          <w:rFonts w:ascii="宋体" w:hAnsi="宋体" w:cs="宋体"/>
          <w:sz w:val="24"/>
        </w:rPr>
        <w:t>研</w:t>
      </w:r>
      <w:r>
        <w:rPr>
          <w:rFonts w:hint="eastAsia" w:ascii="宋体" w:hAnsi="宋体" w:cs="宋体"/>
          <w:sz w:val="24"/>
        </w:rPr>
        <w:t>、</w:t>
      </w:r>
      <w:r>
        <w:rPr>
          <w:rFonts w:ascii="宋体" w:hAnsi="宋体" w:cs="宋体"/>
          <w:sz w:val="24"/>
        </w:rPr>
        <w:t>创融合发展的办学特色</w:t>
      </w:r>
      <w:r>
        <w:rPr>
          <w:rFonts w:hint="eastAsia" w:ascii="宋体" w:hAnsi="宋体" w:cs="宋体"/>
          <w:sz w:val="24"/>
        </w:rPr>
        <w:t>，构建了“两共同、两共享”的“2+2”人才培养模式，即：校企双方共同制定人才培养方案，实现教学内容与职业标准对接；共同参与教学质量评价，保证人才培养质量；校企共享师资，保证双师型教师队伍的数量与质量；共享实践教学基地，实现教学过程与生产环境对接。目前，学校已与1</w:t>
      </w:r>
      <w:r>
        <w:rPr>
          <w:rFonts w:ascii="宋体" w:hAnsi="宋体" w:cs="宋体"/>
          <w:sz w:val="24"/>
        </w:rPr>
        <w:t>70</w:t>
      </w:r>
      <w:r>
        <w:rPr>
          <w:rFonts w:hint="eastAsia" w:ascii="宋体" w:hAnsi="宋体" w:cs="宋体"/>
          <w:sz w:val="24"/>
        </w:rPr>
        <w:t>多家企业开展深度合作、协同育人，每个专业都与相关行业或至少1个大型企业保持相对稳定的深度合作关系，这种行业企业参与办学的模式已经成为我校的鲜明特色</w:t>
      </w:r>
      <w:r>
        <w:rPr>
          <w:rFonts w:ascii="宋体" w:hAnsi="宋体" w:cs="宋体"/>
          <w:sz w:val="24"/>
          <w:lang w:eastAsia="zh-Hans"/>
        </w:rPr>
        <w:t>。</w:t>
      </w:r>
    </w:p>
    <w:p>
      <w:pPr>
        <w:autoSpaceDE w:val="0"/>
        <w:autoSpaceDN w:val="0"/>
        <w:adjustRightInd w:val="0"/>
        <w:spacing w:line="400" w:lineRule="exact"/>
        <w:ind w:firstLine="480" w:firstLineChars="200"/>
        <w:rPr>
          <w:rFonts w:ascii="宋体" w:hAnsi="宋体" w:cs="宋体"/>
          <w:sz w:val="24"/>
        </w:rPr>
      </w:pPr>
      <w:r>
        <w:rPr>
          <w:rFonts w:hint="eastAsia" w:ascii="宋体" w:hAnsi="宋体" w:cs="宋体"/>
          <w:sz w:val="24"/>
        </w:rPr>
        <w:t>为了加快推动学校特色鲜明的高水平现代产业大学建设</w:t>
      </w:r>
      <w:r>
        <w:rPr>
          <w:rFonts w:ascii="宋体" w:hAnsi="宋体" w:cs="宋体"/>
          <w:sz w:val="24"/>
          <w:lang w:eastAsia="zh-Hans"/>
        </w:rPr>
        <w:t>，</w:t>
      </w:r>
      <w:r>
        <w:rPr>
          <w:rFonts w:hint="eastAsia" w:ascii="宋体" w:hAnsi="宋体" w:cs="宋体"/>
          <w:sz w:val="24"/>
        </w:rPr>
        <w:t>不断提高人才培养质量，学校实施九大工程发展战略，即</w:t>
      </w:r>
      <w:r>
        <w:rPr>
          <w:rFonts w:ascii="宋体" w:hAnsi="宋体" w:cs="宋体"/>
          <w:sz w:val="24"/>
          <w:lang w:eastAsia="zh-Hans"/>
        </w:rPr>
        <w:t>人才培养质量提升工程</w:t>
      </w:r>
      <w:r>
        <w:rPr>
          <w:rFonts w:hint="eastAsia" w:ascii="宋体" w:hAnsi="宋体" w:cs="宋体"/>
          <w:sz w:val="24"/>
        </w:rPr>
        <w:t>、</w:t>
      </w:r>
      <w:r>
        <w:rPr>
          <w:rFonts w:ascii="宋体" w:hAnsi="宋体" w:cs="宋体"/>
          <w:sz w:val="24"/>
          <w:lang w:eastAsia="zh-Hans"/>
        </w:rPr>
        <w:t>硕士点建设工程</w:t>
      </w:r>
      <w:r>
        <w:rPr>
          <w:rFonts w:hint="eastAsia" w:ascii="宋体" w:hAnsi="宋体" w:cs="宋体"/>
          <w:sz w:val="24"/>
        </w:rPr>
        <w:t>、</w:t>
      </w:r>
      <w:r>
        <w:rPr>
          <w:rFonts w:ascii="宋体" w:hAnsi="宋体" w:cs="宋体"/>
          <w:sz w:val="24"/>
          <w:lang w:eastAsia="zh-Hans"/>
        </w:rPr>
        <w:t>本科教学合格评估工程</w:t>
      </w:r>
      <w:r>
        <w:rPr>
          <w:rFonts w:hint="eastAsia" w:ascii="宋体" w:hAnsi="宋体" w:cs="宋体"/>
          <w:sz w:val="24"/>
        </w:rPr>
        <w:t>、</w:t>
      </w:r>
      <w:r>
        <w:rPr>
          <w:rFonts w:ascii="宋体" w:hAnsi="宋体" w:cs="宋体"/>
          <w:sz w:val="24"/>
          <w:lang w:eastAsia="zh-Hans"/>
        </w:rPr>
        <w:t>生源质量与就业质量提升工程</w:t>
      </w:r>
      <w:r>
        <w:rPr>
          <w:rFonts w:hint="eastAsia" w:ascii="宋体" w:hAnsi="宋体" w:cs="宋体"/>
          <w:sz w:val="24"/>
        </w:rPr>
        <w:t>、</w:t>
      </w:r>
      <w:r>
        <w:rPr>
          <w:rFonts w:ascii="宋体" w:hAnsi="宋体" w:cs="宋体"/>
          <w:sz w:val="24"/>
          <w:lang w:eastAsia="zh-Hans"/>
        </w:rPr>
        <w:t>服务社会能力提升工程</w:t>
      </w:r>
      <w:r>
        <w:rPr>
          <w:rFonts w:hint="eastAsia" w:ascii="宋体" w:hAnsi="宋体" w:cs="宋体"/>
          <w:sz w:val="24"/>
        </w:rPr>
        <w:t>、</w:t>
      </w:r>
      <w:r>
        <w:rPr>
          <w:rFonts w:ascii="宋体" w:hAnsi="宋体" w:cs="宋体"/>
          <w:sz w:val="24"/>
          <w:lang w:eastAsia="zh-Hans"/>
        </w:rPr>
        <w:t>产业发展工程</w:t>
      </w:r>
      <w:r>
        <w:rPr>
          <w:rFonts w:hint="eastAsia" w:ascii="宋体" w:hAnsi="宋体" w:cs="宋体"/>
          <w:sz w:val="24"/>
        </w:rPr>
        <w:t>、</w:t>
      </w:r>
      <w:r>
        <w:rPr>
          <w:rFonts w:ascii="宋体" w:hAnsi="宋体" w:cs="宋体"/>
          <w:sz w:val="24"/>
          <w:lang w:eastAsia="zh-Hans"/>
        </w:rPr>
        <w:t>师资队伍提升工程</w:t>
      </w:r>
      <w:r>
        <w:rPr>
          <w:rFonts w:hint="eastAsia" w:ascii="宋体" w:hAnsi="宋体" w:cs="宋体"/>
          <w:sz w:val="24"/>
        </w:rPr>
        <w:t>、</w:t>
      </w:r>
      <w:r>
        <w:rPr>
          <w:rFonts w:ascii="宋体" w:hAnsi="宋体" w:cs="宋体"/>
          <w:sz w:val="24"/>
          <w:lang w:eastAsia="zh-Hans"/>
        </w:rPr>
        <w:t>校园文化建设工程</w:t>
      </w:r>
      <w:r>
        <w:rPr>
          <w:rFonts w:hint="eastAsia" w:ascii="宋体" w:hAnsi="宋体" w:cs="宋体"/>
          <w:sz w:val="24"/>
        </w:rPr>
        <w:t>、</w:t>
      </w:r>
      <w:r>
        <w:rPr>
          <w:rFonts w:ascii="宋体" w:hAnsi="宋体" w:cs="宋体"/>
          <w:sz w:val="24"/>
        </w:rPr>
        <w:t>学校声誉提升工程</w:t>
      </w:r>
      <w:r>
        <w:rPr>
          <w:rFonts w:hint="eastAsia" w:ascii="宋体" w:hAnsi="宋体" w:cs="宋体"/>
          <w:sz w:val="24"/>
        </w:rPr>
        <w:t>。通过九大工程的实施，将使</w:t>
      </w:r>
      <w:r>
        <w:rPr>
          <w:rFonts w:ascii="宋体" w:hAnsi="宋体" w:cs="宋体"/>
          <w:sz w:val="24"/>
          <w:lang w:eastAsia="zh-Hans"/>
        </w:rPr>
        <w:t>学校的办学特色更加鲜明，专业设置更趋合理，学科结构更加优化，教学成果更为突出，办学实力进一步增强，治理体系和治理能力进一步提升，人才培养质量和学校声誉显著提高。</w:t>
      </w:r>
    </w:p>
    <w:p>
      <w:pPr>
        <w:pStyle w:val="3"/>
        <w:spacing w:before="0" w:after="0" w:line="240" w:lineRule="auto"/>
        <w:jc w:val="left"/>
        <w:rPr>
          <w:rFonts w:ascii="黑体" w:hAnsi="黑体" w:eastAsia="黑体" w:cs="黑体"/>
          <w:b w:val="0"/>
          <w:bCs/>
          <w:sz w:val="30"/>
          <w:szCs w:val="30"/>
        </w:rPr>
      </w:pPr>
      <w:bookmarkStart w:id="137" w:name="_Toc8132"/>
      <w:r>
        <w:rPr>
          <w:rFonts w:hint="eastAsia" w:ascii="黑体" w:hAnsi="黑体" w:eastAsia="黑体" w:cs="黑体"/>
          <w:b w:val="0"/>
          <w:bCs/>
          <w:sz w:val="30"/>
          <w:szCs w:val="30"/>
        </w:rPr>
        <w:t>九、需要解决的问题</w:t>
      </w:r>
      <w:bookmarkEnd w:id="134"/>
      <w:bookmarkEnd w:id="135"/>
      <w:bookmarkEnd w:id="136"/>
      <w:bookmarkEnd w:id="137"/>
    </w:p>
    <w:p>
      <w:pPr>
        <w:pStyle w:val="4"/>
        <w:spacing w:before="0" w:after="0" w:line="240" w:lineRule="auto"/>
        <w:rPr>
          <w:b w:val="0"/>
          <w:bCs/>
          <w:sz w:val="28"/>
          <w:szCs w:val="28"/>
        </w:rPr>
      </w:pPr>
      <w:bookmarkStart w:id="138" w:name="_Toc27923"/>
      <w:bookmarkStart w:id="139" w:name="_Toc20190_WPSOffice_Level2"/>
      <w:bookmarkStart w:id="140" w:name="_Toc13419_WPSOffice_Level2"/>
      <w:bookmarkStart w:id="141" w:name="_Toc17373_WPSOffice_Level2"/>
      <w:r>
        <w:rPr>
          <w:rFonts w:hint="eastAsia"/>
          <w:b w:val="0"/>
          <w:bCs/>
          <w:sz w:val="28"/>
          <w:szCs w:val="28"/>
        </w:rPr>
        <w:t>（一）存在的问题</w:t>
      </w:r>
      <w:bookmarkEnd w:id="138"/>
      <w:bookmarkEnd w:id="139"/>
      <w:bookmarkEnd w:id="140"/>
      <w:bookmarkEnd w:id="141"/>
    </w:p>
    <w:p>
      <w:pPr>
        <w:spacing w:line="400" w:lineRule="exact"/>
        <w:ind w:firstLine="480" w:firstLineChars="200"/>
        <w:rPr>
          <w:rFonts w:asciiTheme="minorEastAsia" w:hAnsiTheme="minorEastAsia" w:cstheme="minorEastAsia"/>
          <w:sz w:val="24"/>
          <w:szCs w:val="24"/>
        </w:rPr>
      </w:pPr>
      <w:r>
        <w:rPr>
          <w:rFonts w:asciiTheme="minorEastAsia" w:hAnsiTheme="minorEastAsia" w:cstheme="minorEastAsia"/>
          <w:sz w:val="24"/>
          <w:szCs w:val="24"/>
        </w:rPr>
        <w:t>1.</w:t>
      </w:r>
      <w:r>
        <w:rPr>
          <w:rFonts w:hint="eastAsia" w:asciiTheme="minorEastAsia" w:hAnsiTheme="minorEastAsia" w:cstheme="minorEastAsia"/>
          <w:sz w:val="24"/>
          <w:szCs w:val="24"/>
        </w:rPr>
        <w:t>实践教学投入有待进一步加强，实践教学条件仍需改善。</w:t>
      </w:r>
    </w:p>
    <w:p>
      <w:pPr>
        <w:spacing w:line="400" w:lineRule="exact"/>
        <w:ind w:firstLine="480" w:firstLineChars="200"/>
        <w:rPr>
          <w:rFonts w:ascii="宋体" w:hAnsi="宋体" w:cs="宋体"/>
          <w:sz w:val="24"/>
        </w:rPr>
      </w:pPr>
      <w:r>
        <w:rPr>
          <w:rFonts w:hint="eastAsia" w:asciiTheme="minorEastAsia" w:hAnsiTheme="minorEastAsia" w:cstheme="minorEastAsia"/>
          <w:sz w:val="24"/>
          <w:szCs w:val="24"/>
        </w:rPr>
        <w:t>2.高水平的专业学科带头人较少，教师队伍建设有待进一步加强。</w:t>
      </w:r>
    </w:p>
    <w:p>
      <w:pPr>
        <w:pStyle w:val="4"/>
        <w:spacing w:before="0" w:after="0" w:line="240" w:lineRule="auto"/>
        <w:rPr>
          <w:b w:val="0"/>
          <w:bCs/>
          <w:sz w:val="28"/>
          <w:szCs w:val="28"/>
        </w:rPr>
      </w:pPr>
      <w:bookmarkStart w:id="142" w:name="_Toc20094_WPSOffice_Level2"/>
      <w:bookmarkStart w:id="143" w:name="_Toc11270_WPSOffice_Level2"/>
      <w:bookmarkStart w:id="144" w:name="_Toc17203"/>
      <w:bookmarkStart w:id="145" w:name="_Toc31361_WPSOffice_Level2"/>
      <w:r>
        <w:rPr>
          <w:rFonts w:hint="eastAsia"/>
          <w:b w:val="0"/>
          <w:bCs/>
          <w:sz w:val="28"/>
          <w:szCs w:val="28"/>
        </w:rPr>
        <w:t>（二）主要改进措施</w:t>
      </w:r>
      <w:bookmarkEnd w:id="142"/>
      <w:bookmarkEnd w:id="143"/>
      <w:bookmarkEnd w:id="144"/>
      <w:bookmarkEnd w:id="145"/>
    </w:p>
    <w:p>
      <w:pPr>
        <w:autoSpaceDE w:val="0"/>
        <w:autoSpaceDN w:val="0"/>
        <w:adjustRightInd w:val="0"/>
        <w:spacing w:line="40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w:t>
      </w:r>
      <w:r>
        <w:rPr>
          <w:rFonts w:hint="eastAsia" w:asciiTheme="minorEastAsia" w:hAnsiTheme="minorEastAsia" w:cstheme="minorEastAsia"/>
          <w:sz w:val="24"/>
          <w:szCs w:val="24"/>
        </w:rPr>
        <w:t>学校将进一步加大教学投入，重点推进实验室改造升级和实习实训中心建设，争取专项财政经费投入和校企合作共建，</w:t>
      </w:r>
      <w:r>
        <w:rPr>
          <w:rFonts w:hint="eastAsia" w:ascii="宋体" w:hAnsi="宋体" w:cs="宋体"/>
          <w:sz w:val="24"/>
        </w:rPr>
        <w:t>通过开源节流、提高教学资源利用率，加强虚拟仿真实验的校内开发和校外引进等办法节约实践成本、丰富实验教学内容、提高实践教学效果。</w:t>
      </w:r>
    </w:p>
    <w:p>
      <w:pPr>
        <w:autoSpaceDE w:val="0"/>
        <w:autoSpaceDN w:val="0"/>
        <w:adjustRightInd w:val="0"/>
        <w:spacing w:line="400" w:lineRule="exact"/>
        <w:ind w:firstLine="480" w:firstLineChars="200"/>
        <w:rPr>
          <w:rFonts w:ascii="宋体" w:hAnsi="宋体" w:cs="宋体"/>
          <w:sz w:val="24"/>
        </w:rPr>
      </w:pPr>
      <w:r>
        <w:rPr>
          <w:rFonts w:hint="eastAsia" w:ascii="宋体" w:hAnsi="宋体" w:cs="宋体"/>
          <w:sz w:val="24"/>
        </w:rPr>
        <w:t>2</w:t>
      </w:r>
      <w:r>
        <w:rPr>
          <w:rFonts w:ascii="宋体" w:hAnsi="宋体" w:cs="宋体"/>
          <w:sz w:val="24"/>
        </w:rPr>
        <w:t>.</w:t>
      </w:r>
      <w:r>
        <w:rPr>
          <w:rFonts w:hint="eastAsia" w:asciiTheme="minorEastAsia" w:hAnsiTheme="minorEastAsia" w:cstheme="minorEastAsia"/>
          <w:sz w:val="24"/>
          <w:szCs w:val="24"/>
        </w:rPr>
        <w:t>下一步学校将加大引进和培养高层次专业人才力度，聘请专业领域知名教授、高端人才，行业、企业有影响力的专家担任带头人，加强学校自有教师尤其是中青年教师的培养，</w:t>
      </w:r>
      <w:r>
        <w:rPr>
          <w:rFonts w:hint="eastAsia" w:ascii="宋体" w:hAnsi="宋体" w:cs="宋体"/>
          <w:sz w:val="24"/>
        </w:rPr>
        <w:t>完善激励和约束机制，</w:t>
      </w:r>
      <w:r>
        <w:rPr>
          <w:rFonts w:hint="eastAsia" w:asciiTheme="minorEastAsia" w:hAnsiTheme="minorEastAsia" w:cstheme="minorEastAsia"/>
          <w:sz w:val="24"/>
          <w:szCs w:val="24"/>
        </w:rPr>
        <w:t>为一流专业、一流课程建设培养领军人才和骨干。</w:t>
      </w:r>
    </w:p>
    <w:p>
      <w:pPr>
        <w:autoSpaceDE w:val="0"/>
        <w:autoSpaceDN w:val="0"/>
        <w:adjustRightInd w:val="0"/>
        <w:spacing w:line="400" w:lineRule="exact"/>
        <w:ind w:firstLine="480" w:firstLineChars="200"/>
        <w:rPr>
          <w:rFonts w:ascii="宋体" w:hAnsi="宋体" w:cs="宋体"/>
          <w:sz w:val="24"/>
        </w:rPr>
      </w:pPr>
      <w:r>
        <w:rPr>
          <w:rFonts w:hint="eastAsia" w:ascii="宋体" w:hAnsi="宋体" w:cs="宋体"/>
          <w:sz w:val="24"/>
        </w:rPr>
        <w:t>学</w:t>
      </w:r>
      <w:r>
        <w:rPr>
          <w:rFonts w:ascii="宋体" w:hAnsi="宋体" w:cs="宋体"/>
          <w:sz w:val="24"/>
        </w:rPr>
        <w:t>校将</w:t>
      </w:r>
      <w:r>
        <w:rPr>
          <w:rFonts w:hint="eastAsia" w:ascii="宋体" w:hAnsi="宋体" w:cs="宋体"/>
          <w:sz w:val="24"/>
        </w:rPr>
        <w:t>继续以立德树人为根本任务，以提高人才培养质量为核心，立足应用型定位，突出优势和特色，全面深化教育教学改革，全面坚持校企合作、产教融合，继续</w:t>
      </w:r>
      <w:r>
        <w:rPr>
          <w:rFonts w:ascii="宋体" w:hAnsi="宋体" w:cs="宋体"/>
          <w:sz w:val="24"/>
        </w:rPr>
        <w:t>秉承“</w:t>
      </w:r>
      <w:r>
        <w:rPr>
          <w:rFonts w:hint="eastAsia" w:ascii="宋体" w:hAnsi="宋体" w:cs="宋体"/>
          <w:sz w:val="24"/>
        </w:rPr>
        <w:t>厚德、守正、求是、创新</w:t>
      </w:r>
      <w:r>
        <w:rPr>
          <w:rFonts w:ascii="宋体" w:hAnsi="宋体" w:cs="宋体"/>
          <w:sz w:val="24"/>
        </w:rPr>
        <w:t>”的</w:t>
      </w:r>
      <w:r>
        <w:rPr>
          <w:rFonts w:hint="eastAsia" w:ascii="宋体" w:hAnsi="宋体" w:cs="宋体"/>
          <w:sz w:val="24"/>
        </w:rPr>
        <w:t>校训</w:t>
      </w:r>
      <w:r>
        <w:rPr>
          <w:rFonts w:ascii="宋体" w:hAnsi="宋体" w:cs="宋体"/>
          <w:sz w:val="24"/>
        </w:rPr>
        <w:t>精神，深化内涵发展，提升教育质量，</w:t>
      </w:r>
      <w:r>
        <w:rPr>
          <w:rFonts w:hint="eastAsia" w:ascii="宋体" w:hAnsi="宋体" w:cs="宋体"/>
          <w:sz w:val="24"/>
        </w:rPr>
        <w:t>努力建设以光电为特色的高水平现代产业大学，为国家和地方经济社会发展作出新的更大的贡献。</w:t>
      </w:r>
    </w:p>
    <w:p>
      <w:pPr>
        <w:autoSpaceDE w:val="0"/>
        <w:autoSpaceDN w:val="0"/>
        <w:adjustRightInd w:val="0"/>
        <w:spacing w:line="400" w:lineRule="exact"/>
        <w:ind w:firstLine="480" w:firstLineChars="200"/>
        <w:rPr>
          <w:rFonts w:ascii="宋体" w:hAnsi="宋体" w:cs="宋体"/>
          <w:sz w:val="24"/>
        </w:rPr>
      </w:pPr>
    </w:p>
    <w:p>
      <w:pPr>
        <w:widowControl/>
        <w:jc w:val="left"/>
        <w:rPr>
          <w:rFonts w:ascii="宋体" w:hAnsi="宋体" w:cs="宋体"/>
          <w:kern w:val="0"/>
          <w:sz w:val="24"/>
          <w:szCs w:val="24"/>
        </w:rPr>
      </w:pPr>
      <w:r>
        <w:rPr>
          <w:rFonts w:ascii="宋体" w:hAnsi="宋体" w:cs="宋体"/>
          <w:kern w:val="0"/>
          <w:sz w:val="24"/>
          <w:szCs w:val="24"/>
        </w:rPr>
        <w:t> </w:t>
      </w:r>
    </w:p>
    <w:p>
      <w:pPr>
        <w:spacing w:line="400" w:lineRule="exact"/>
        <w:rPr>
          <w:rFonts w:ascii="宋体" w:hAnsi="宋体" w:cs="仿宋"/>
          <w:sz w:val="24"/>
          <w:szCs w:val="24"/>
        </w:rPr>
      </w:pPr>
    </w:p>
    <w:p>
      <w:pPr>
        <w:spacing w:line="400" w:lineRule="exact"/>
        <w:jc w:val="center"/>
        <w:rPr>
          <w:rFonts w:ascii="宋体" w:hAnsi="宋体" w:cs="仿宋"/>
          <w:sz w:val="24"/>
          <w:szCs w:val="24"/>
        </w:rPr>
      </w:pPr>
      <w:r>
        <w:rPr>
          <w:rFonts w:hint="eastAsia" w:ascii="宋体" w:hAnsi="宋体" w:cs="仿宋"/>
          <w:sz w:val="24"/>
          <w:szCs w:val="24"/>
        </w:rPr>
        <w:t xml:space="preserve">                                            长春电子科技学院</w:t>
      </w:r>
    </w:p>
    <w:p>
      <w:pPr>
        <w:spacing w:line="400" w:lineRule="exact"/>
        <w:ind w:firstLine="480" w:firstLineChars="200"/>
        <w:rPr>
          <w:rFonts w:ascii="宋体" w:hAnsi="宋体" w:cs="仿宋"/>
          <w:sz w:val="24"/>
          <w:szCs w:val="24"/>
        </w:rPr>
      </w:pPr>
      <w:r>
        <w:rPr>
          <w:rFonts w:hint="eastAsia" w:ascii="宋体" w:hAnsi="宋体" w:cs="仿宋"/>
          <w:sz w:val="24"/>
          <w:szCs w:val="24"/>
        </w:rPr>
        <w:t xml:space="preserve">                                             二零二二年十一月</w:t>
      </w:r>
    </w:p>
    <w:sectPr>
      <w:footerReference r:id="rId8"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enlo">
    <w:altName w:val="Calibri"/>
    <w:panose1 w:val="00000000000000000000"/>
    <w:charset w:val="00"/>
    <w:family w:val="auto"/>
    <w:pitch w:val="default"/>
    <w:sig w:usb0="00000000" w:usb1="00000000" w:usb2="02000028" w:usb3="00000000" w:csb0="600001DF" w:csb1="FFD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9"/>
                            <w:jc w:val="center"/>
                            <w:rPr>
                              <w:rStyle w:val="20"/>
                            </w:rPr>
                          </w:pPr>
                          <w:r>
                            <w:fldChar w:fldCharType="begin"/>
                          </w:r>
                          <w:r>
                            <w:rPr>
                              <w:rStyle w:val="20"/>
                            </w:rPr>
                            <w:instrText xml:space="preserve">PAGE  </w:instrText>
                          </w:r>
                          <w:r>
                            <w:fldChar w:fldCharType="separate"/>
                          </w:r>
                          <w:r>
                            <w:rPr>
                              <w:rStyle w:val="20"/>
                            </w:rPr>
                            <w:t>13</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X5J0AAAAAMBAAAPAAAAAAAAAAEAIAAAACIAAABk&#10;cnMvZG93bnJldi54bWxQSwECFAAUAAAACACHTuJAFElghQ4CAAAQBAAADgAAAAAAAAABACAAAAAf&#10;AQAAZHJzL2Uyb0RvYy54bWxQSwUGAAAAAAYABgBZAQAAnwUAAAAA&#10;">
              <v:fill on="f" focussize="0,0"/>
              <v:stroke on="f"/>
              <v:imagedata o:title=""/>
              <o:lock v:ext="edit" aspectratio="f"/>
              <v:textbox inset="0mm,0mm,0mm,0mm" style="mso-fit-shape-to-text:t;">
                <w:txbxContent>
                  <w:p>
                    <w:pPr>
                      <w:pStyle w:val="9"/>
                      <w:jc w:val="center"/>
                      <w:rPr>
                        <w:rStyle w:val="20"/>
                      </w:rPr>
                    </w:pPr>
                    <w:r>
                      <w:fldChar w:fldCharType="begin"/>
                    </w:r>
                    <w:r>
                      <w:rPr>
                        <w:rStyle w:val="20"/>
                      </w:rPr>
                      <w:instrText xml:space="preserve">PAGE  </w:instrText>
                    </w:r>
                    <w:r>
                      <w:fldChar w:fldCharType="separate"/>
                    </w:r>
                    <w:r>
                      <w:rPr>
                        <w:rStyle w:val="20"/>
                      </w:rP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double" w:color="003366" w:sz="8" w:space="1"/>
      </w:pBdr>
    </w:pPr>
    <w:r>
      <w:rPr>
        <w:rFonts w:hint="eastAsia"/>
      </w:rPr>
      <w:t>长春电子科技学院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ZTc3YWExODMzYmE3ZTQ4YjY4N2UzNWY1YjgyNjAifQ=="/>
  </w:docVars>
  <w:rsids>
    <w:rsidRoot w:val="00890B9D"/>
    <w:rsid w:val="0000239A"/>
    <w:rsid w:val="00002AB2"/>
    <w:rsid w:val="000069E8"/>
    <w:rsid w:val="000071C1"/>
    <w:rsid w:val="00010041"/>
    <w:rsid w:val="000116BE"/>
    <w:rsid w:val="00011BD5"/>
    <w:rsid w:val="000143A9"/>
    <w:rsid w:val="00015E36"/>
    <w:rsid w:val="00016E3E"/>
    <w:rsid w:val="000175AA"/>
    <w:rsid w:val="00021B7D"/>
    <w:rsid w:val="00023912"/>
    <w:rsid w:val="00024604"/>
    <w:rsid w:val="00024E74"/>
    <w:rsid w:val="000251EB"/>
    <w:rsid w:val="0002562B"/>
    <w:rsid w:val="0002634F"/>
    <w:rsid w:val="000279C6"/>
    <w:rsid w:val="00030372"/>
    <w:rsid w:val="000323E6"/>
    <w:rsid w:val="00032456"/>
    <w:rsid w:val="00032677"/>
    <w:rsid w:val="0003380C"/>
    <w:rsid w:val="00034C48"/>
    <w:rsid w:val="00034CBA"/>
    <w:rsid w:val="00037126"/>
    <w:rsid w:val="000374E3"/>
    <w:rsid w:val="0004021F"/>
    <w:rsid w:val="00041199"/>
    <w:rsid w:val="000438C2"/>
    <w:rsid w:val="00043EC8"/>
    <w:rsid w:val="00043F54"/>
    <w:rsid w:val="0004469E"/>
    <w:rsid w:val="0004498A"/>
    <w:rsid w:val="00046A5F"/>
    <w:rsid w:val="000501FD"/>
    <w:rsid w:val="000544CC"/>
    <w:rsid w:val="000549BA"/>
    <w:rsid w:val="00054AA5"/>
    <w:rsid w:val="000556E0"/>
    <w:rsid w:val="000575ED"/>
    <w:rsid w:val="000622B4"/>
    <w:rsid w:val="00062528"/>
    <w:rsid w:val="000637BE"/>
    <w:rsid w:val="000644B9"/>
    <w:rsid w:val="000649B5"/>
    <w:rsid w:val="00064F5D"/>
    <w:rsid w:val="0006532E"/>
    <w:rsid w:val="00065B2F"/>
    <w:rsid w:val="0006600A"/>
    <w:rsid w:val="000669C2"/>
    <w:rsid w:val="00066B0E"/>
    <w:rsid w:val="000701F2"/>
    <w:rsid w:val="000743B4"/>
    <w:rsid w:val="00074F6D"/>
    <w:rsid w:val="00075B55"/>
    <w:rsid w:val="00077551"/>
    <w:rsid w:val="00080E63"/>
    <w:rsid w:val="000824C9"/>
    <w:rsid w:val="000826A9"/>
    <w:rsid w:val="00084625"/>
    <w:rsid w:val="0008505F"/>
    <w:rsid w:val="0008682B"/>
    <w:rsid w:val="000926F8"/>
    <w:rsid w:val="000945C4"/>
    <w:rsid w:val="0009770C"/>
    <w:rsid w:val="00097D0B"/>
    <w:rsid w:val="000A1974"/>
    <w:rsid w:val="000A2442"/>
    <w:rsid w:val="000A35B7"/>
    <w:rsid w:val="000A37CD"/>
    <w:rsid w:val="000A3D33"/>
    <w:rsid w:val="000A479C"/>
    <w:rsid w:val="000A576A"/>
    <w:rsid w:val="000A57D4"/>
    <w:rsid w:val="000A6CA0"/>
    <w:rsid w:val="000A7D39"/>
    <w:rsid w:val="000B1524"/>
    <w:rsid w:val="000B1D18"/>
    <w:rsid w:val="000B276A"/>
    <w:rsid w:val="000B4159"/>
    <w:rsid w:val="000C10A1"/>
    <w:rsid w:val="000C12CD"/>
    <w:rsid w:val="000C148F"/>
    <w:rsid w:val="000C19F9"/>
    <w:rsid w:val="000C2044"/>
    <w:rsid w:val="000C2689"/>
    <w:rsid w:val="000C411B"/>
    <w:rsid w:val="000C49B0"/>
    <w:rsid w:val="000C50E6"/>
    <w:rsid w:val="000C5214"/>
    <w:rsid w:val="000C5A13"/>
    <w:rsid w:val="000C60C6"/>
    <w:rsid w:val="000D0432"/>
    <w:rsid w:val="000D1824"/>
    <w:rsid w:val="000D1954"/>
    <w:rsid w:val="000D3EDB"/>
    <w:rsid w:val="000D4CCA"/>
    <w:rsid w:val="000D7BD6"/>
    <w:rsid w:val="000E051B"/>
    <w:rsid w:val="000E1732"/>
    <w:rsid w:val="000E1CF4"/>
    <w:rsid w:val="000E2DEA"/>
    <w:rsid w:val="000E2EC5"/>
    <w:rsid w:val="000E3EF8"/>
    <w:rsid w:val="000E41C1"/>
    <w:rsid w:val="000E5B11"/>
    <w:rsid w:val="000E5CBE"/>
    <w:rsid w:val="000E5D71"/>
    <w:rsid w:val="000E5EE7"/>
    <w:rsid w:val="000F1236"/>
    <w:rsid w:val="000F16F8"/>
    <w:rsid w:val="000F21DD"/>
    <w:rsid w:val="000F3166"/>
    <w:rsid w:val="000F40D3"/>
    <w:rsid w:val="000F5790"/>
    <w:rsid w:val="000F5806"/>
    <w:rsid w:val="000F5CB2"/>
    <w:rsid w:val="000F6229"/>
    <w:rsid w:val="000F62CA"/>
    <w:rsid w:val="000F64DF"/>
    <w:rsid w:val="000F728C"/>
    <w:rsid w:val="000F7AB3"/>
    <w:rsid w:val="00101421"/>
    <w:rsid w:val="00102815"/>
    <w:rsid w:val="00103340"/>
    <w:rsid w:val="00103C54"/>
    <w:rsid w:val="00103DB2"/>
    <w:rsid w:val="001042E6"/>
    <w:rsid w:val="00104805"/>
    <w:rsid w:val="001057F8"/>
    <w:rsid w:val="001063CA"/>
    <w:rsid w:val="00107639"/>
    <w:rsid w:val="00110194"/>
    <w:rsid w:val="001110B2"/>
    <w:rsid w:val="001112E1"/>
    <w:rsid w:val="00111F30"/>
    <w:rsid w:val="001145CE"/>
    <w:rsid w:val="00114794"/>
    <w:rsid w:val="00117137"/>
    <w:rsid w:val="00117377"/>
    <w:rsid w:val="00120B4A"/>
    <w:rsid w:val="0012172A"/>
    <w:rsid w:val="00121F13"/>
    <w:rsid w:val="00122F3C"/>
    <w:rsid w:val="00126DF6"/>
    <w:rsid w:val="001276E1"/>
    <w:rsid w:val="00127813"/>
    <w:rsid w:val="001317CC"/>
    <w:rsid w:val="00131DE9"/>
    <w:rsid w:val="001337C8"/>
    <w:rsid w:val="00135545"/>
    <w:rsid w:val="00135A5D"/>
    <w:rsid w:val="0013799C"/>
    <w:rsid w:val="001417BE"/>
    <w:rsid w:val="00142FF8"/>
    <w:rsid w:val="001438B3"/>
    <w:rsid w:val="00145E36"/>
    <w:rsid w:val="00145FFA"/>
    <w:rsid w:val="00150DB3"/>
    <w:rsid w:val="0015226C"/>
    <w:rsid w:val="00153184"/>
    <w:rsid w:val="00154A36"/>
    <w:rsid w:val="00160C54"/>
    <w:rsid w:val="00160F90"/>
    <w:rsid w:val="001616D5"/>
    <w:rsid w:val="001623A4"/>
    <w:rsid w:val="00162F89"/>
    <w:rsid w:val="001630C8"/>
    <w:rsid w:val="00163F27"/>
    <w:rsid w:val="00164703"/>
    <w:rsid w:val="00167AB9"/>
    <w:rsid w:val="00167F13"/>
    <w:rsid w:val="00171E3E"/>
    <w:rsid w:val="00174566"/>
    <w:rsid w:val="00174861"/>
    <w:rsid w:val="00176D36"/>
    <w:rsid w:val="001777F1"/>
    <w:rsid w:val="001809F2"/>
    <w:rsid w:val="001813D4"/>
    <w:rsid w:val="00182483"/>
    <w:rsid w:val="00183130"/>
    <w:rsid w:val="00183D02"/>
    <w:rsid w:val="00184439"/>
    <w:rsid w:val="0018445A"/>
    <w:rsid w:val="00184C64"/>
    <w:rsid w:val="00185619"/>
    <w:rsid w:val="0018577B"/>
    <w:rsid w:val="001869EB"/>
    <w:rsid w:val="00186AAA"/>
    <w:rsid w:val="001870BC"/>
    <w:rsid w:val="001874CE"/>
    <w:rsid w:val="0018792B"/>
    <w:rsid w:val="00190C0D"/>
    <w:rsid w:val="0019173A"/>
    <w:rsid w:val="00191B96"/>
    <w:rsid w:val="001927B5"/>
    <w:rsid w:val="0019416C"/>
    <w:rsid w:val="001A0073"/>
    <w:rsid w:val="001A067C"/>
    <w:rsid w:val="001A46DC"/>
    <w:rsid w:val="001A4881"/>
    <w:rsid w:val="001A521B"/>
    <w:rsid w:val="001A5720"/>
    <w:rsid w:val="001A7284"/>
    <w:rsid w:val="001B0B0D"/>
    <w:rsid w:val="001B1106"/>
    <w:rsid w:val="001B284C"/>
    <w:rsid w:val="001B294D"/>
    <w:rsid w:val="001B2F5D"/>
    <w:rsid w:val="001B59C9"/>
    <w:rsid w:val="001B7A18"/>
    <w:rsid w:val="001C4110"/>
    <w:rsid w:val="001C542F"/>
    <w:rsid w:val="001C5514"/>
    <w:rsid w:val="001C7CD0"/>
    <w:rsid w:val="001D23E8"/>
    <w:rsid w:val="001D2467"/>
    <w:rsid w:val="001D25BA"/>
    <w:rsid w:val="001D300E"/>
    <w:rsid w:val="001D3151"/>
    <w:rsid w:val="001D3755"/>
    <w:rsid w:val="001D37FF"/>
    <w:rsid w:val="001D3D18"/>
    <w:rsid w:val="001D42D8"/>
    <w:rsid w:val="001D4AE7"/>
    <w:rsid w:val="001D56A7"/>
    <w:rsid w:val="001D6BA7"/>
    <w:rsid w:val="001E0D58"/>
    <w:rsid w:val="001E14A4"/>
    <w:rsid w:val="001E1B85"/>
    <w:rsid w:val="001E3DF7"/>
    <w:rsid w:val="001E6F05"/>
    <w:rsid w:val="001E7335"/>
    <w:rsid w:val="001E7F0F"/>
    <w:rsid w:val="001F0F93"/>
    <w:rsid w:val="001F1533"/>
    <w:rsid w:val="001F21B1"/>
    <w:rsid w:val="001F2AE0"/>
    <w:rsid w:val="001F7F7E"/>
    <w:rsid w:val="00200B3A"/>
    <w:rsid w:val="00203CC1"/>
    <w:rsid w:val="002057F3"/>
    <w:rsid w:val="00205BCC"/>
    <w:rsid w:val="00205E7C"/>
    <w:rsid w:val="00205F26"/>
    <w:rsid w:val="0020662F"/>
    <w:rsid w:val="0021386B"/>
    <w:rsid w:val="00213DE5"/>
    <w:rsid w:val="00214146"/>
    <w:rsid w:val="00214D00"/>
    <w:rsid w:val="0021506A"/>
    <w:rsid w:val="0021565A"/>
    <w:rsid w:val="0021780E"/>
    <w:rsid w:val="00220AA0"/>
    <w:rsid w:val="00220CFA"/>
    <w:rsid w:val="002221EA"/>
    <w:rsid w:val="00222A27"/>
    <w:rsid w:val="00222A4A"/>
    <w:rsid w:val="00224305"/>
    <w:rsid w:val="002243E1"/>
    <w:rsid w:val="0022471B"/>
    <w:rsid w:val="00224B7F"/>
    <w:rsid w:val="00224F21"/>
    <w:rsid w:val="002275CE"/>
    <w:rsid w:val="002305AD"/>
    <w:rsid w:val="00231544"/>
    <w:rsid w:val="00233ABA"/>
    <w:rsid w:val="00235EF4"/>
    <w:rsid w:val="002377AD"/>
    <w:rsid w:val="00237F36"/>
    <w:rsid w:val="00240E4E"/>
    <w:rsid w:val="002412F1"/>
    <w:rsid w:val="002445B9"/>
    <w:rsid w:val="00244891"/>
    <w:rsid w:val="002465F3"/>
    <w:rsid w:val="002473DD"/>
    <w:rsid w:val="002507F8"/>
    <w:rsid w:val="0025112A"/>
    <w:rsid w:val="002518FF"/>
    <w:rsid w:val="00251C1F"/>
    <w:rsid w:val="00254306"/>
    <w:rsid w:val="0025594A"/>
    <w:rsid w:val="00257020"/>
    <w:rsid w:val="002618FF"/>
    <w:rsid w:val="0026210C"/>
    <w:rsid w:val="002658E3"/>
    <w:rsid w:val="00266AD7"/>
    <w:rsid w:val="0027011A"/>
    <w:rsid w:val="0027135E"/>
    <w:rsid w:val="00271657"/>
    <w:rsid w:val="0027238B"/>
    <w:rsid w:val="00272521"/>
    <w:rsid w:val="00272FBA"/>
    <w:rsid w:val="002730D5"/>
    <w:rsid w:val="002732CD"/>
    <w:rsid w:val="0027399B"/>
    <w:rsid w:val="00274102"/>
    <w:rsid w:val="00274456"/>
    <w:rsid w:val="0027476D"/>
    <w:rsid w:val="00275E85"/>
    <w:rsid w:val="002761CE"/>
    <w:rsid w:val="00276498"/>
    <w:rsid w:val="00276F71"/>
    <w:rsid w:val="0028093E"/>
    <w:rsid w:val="00281023"/>
    <w:rsid w:val="00281C5C"/>
    <w:rsid w:val="00283EEB"/>
    <w:rsid w:val="00284D26"/>
    <w:rsid w:val="00285DCE"/>
    <w:rsid w:val="0028695D"/>
    <w:rsid w:val="00291371"/>
    <w:rsid w:val="00293DD4"/>
    <w:rsid w:val="00295540"/>
    <w:rsid w:val="002959C8"/>
    <w:rsid w:val="00295F76"/>
    <w:rsid w:val="002A0664"/>
    <w:rsid w:val="002A23D7"/>
    <w:rsid w:val="002A48FD"/>
    <w:rsid w:val="002A4D3A"/>
    <w:rsid w:val="002A67CE"/>
    <w:rsid w:val="002A6F30"/>
    <w:rsid w:val="002B020C"/>
    <w:rsid w:val="002B0694"/>
    <w:rsid w:val="002B2057"/>
    <w:rsid w:val="002B22F0"/>
    <w:rsid w:val="002B3AAB"/>
    <w:rsid w:val="002B6D59"/>
    <w:rsid w:val="002C0311"/>
    <w:rsid w:val="002C04C9"/>
    <w:rsid w:val="002C4426"/>
    <w:rsid w:val="002C54BC"/>
    <w:rsid w:val="002C56D9"/>
    <w:rsid w:val="002C75BE"/>
    <w:rsid w:val="002D32DD"/>
    <w:rsid w:val="002D4231"/>
    <w:rsid w:val="002D5A37"/>
    <w:rsid w:val="002D660B"/>
    <w:rsid w:val="002D7C6C"/>
    <w:rsid w:val="002D7F96"/>
    <w:rsid w:val="002E2DA1"/>
    <w:rsid w:val="002E5D18"/>
    <w:rsid w:val="002F111C"/>
    <w:rsid w:val="002F2597"/>
    <w:rsid w:val="002F3A9D"/>
    <w:rsid w:val="002F540A"/>
    <w:rsid w:val="002F63D1"/>
    <w:rsid w:val="00300B5F"/>
    <w:rsid w:val="00302F08"/>
    <w:rsid w:val="003031ED"/>
    <w:rsid w:val="00305946"/>
    <w:rsid w:val="00305FA2"/>
    <w:rsid w:val="00306612"/>
    <w:rsid w:val="003120A0"/>
    <w:rsid w:val="003128FE"/>
    <w:rsid w:val="0031311A"/>
    <w:rsid w:val="00313841"/>
    <w:rsid w:val="003140A0"/>
    <w:rsid w:val="00315461"/>
    <w:rsid w:val="003160C4"/>
    <w:rsid w:val="0031633D"/>
    <w:rsid w:val="0031768F"/>
    <w:rsid w:val="00317BF8"/>
    <w:rsid w:val="003205A1"/>
    <w:rsid w:val="00321BE0"/>
    <w:rsid w:val="00322950"/>
    <w:rsid w:val="00323137"/>
    <w:rsid w:val="003233FF"/>
    <w:rsid w:val="003234E2"/>
    <w:rsid w:val="00325BB4"/>
    <w:rsid w:val="00325DB7"/>
    <w:rsid w:val="0032792C"/>
    <w:rsid w:val="00330A17"/>
    <w:rsid w:val="00330A6F"/>
    <w:rsid w:val="00332AF1"/>
    <w:rsid w:val="003349DE"/>
    <w:rsid w:val="00337AA5"/>
    <w:rsid w:val="00337F4C"/>
    <w:rsid w:val="0034060E"/>
    <w:rsid w:val="00340DB3"/>
    <w:rsid w:val="00341616"/>
    <w:rsid w:val="00341FAA"/>
    <w:rsid w:val="00343CE0"/>
    <w:rsid w:val="00343D08"/>
    <w:rsid w:val="00343D14"/>
    <w:rsid w:val="00344A0D"/>
    <w:rsid w:val="00345670"/>
    <w:rsid w:val="0034682B"/>
    <w:rsid w:val="00347C3D"/>
    <w:rsid w:val="003516E3"/>
    <w:rsid w:val="0035173D"/>
    <w:rsid w:val="00353A0D"/>
    <w:rsid w:val="00355A4F"/>
    <w:rsid w:val="00356629"/>
    <w:rsid w:val="003605AC"/>
    <w:rsid w:val="003618B9"/>
    <w:rsid w:val="00362064"/>
    <w:rsid w:val="00362C23"/>
    <w:rsid w:val="00362FA5"/>
    <w:rsid w:val="003635B4"/>
    <w:rsid w:val="0036395E"/>
    <w:rsid w:val="00364668"/>
    <w:rsid w:val="00365206"/>
    <w:rsid w:val="00365F9A"/>
    <w:rsid w:val="00366296"/>
    <w:rsid w:val="003670EF"/>
    <w:rsid w:val="00370DB0"/>
    <w:rsid w:val="0037378D"/>
    <w:rsid w:val="003746C2"/>
    <w:rsid w:val="003748D1"/>
    <w:rsid w:val="00374B7F"/>
    <w:rsid w:val="00374C14"/>
    <w:rsid w:val="00375F2F"/>
    <w:rsid w:val="00376264"/>
    <w:rsid w:val="00377202"/>
    <w:rsid w:val="003807DB"/>
    <w:rsid w:val="00380EA6"/>
    <w:rsid w:val="0038118A"/>
    <w:rsid w:val="00382C38"/>
    <w:rsid w:val="00384A81"/>
    <w:rsid w:val="003855D0"/>
    <w:rsid w:val="00385EF0"/>
    <w:rsid w:val="00386A04"/>
    <w:rsid w:val="00386C70"/>
    <w:rsid w:val="00387DFF"/>
    <w:rsid w:val="00387F33"/>
    <w:rsid w:val="00391804"/>
    <w:rsid w:val="00391849"/>
    <w:rsid w:val="003921DD"/>
    <w:rsid w:val="0039421C"/>
    <w:rsid w:val="003945ED"/>
    <w:rsid w:val="00396DBD"/>
    <w:rsid w:val="003975CD"/>
    <w:rsid w:val="003A084D"/>
    <w:rsid w:val="003A0DA0"/>
    <w:rsid w:val="003A1550"/>
    <w:rsid w:val="003A37E5"/>
    <w:rsid w:val="003A483E"/>
    <w:rsid w:val="003A637D"/>
    <w:rsid w:val="003A7086"/>
    <w:rsid w:val="003B199C"/>
    <w:rsid w:val="003B295E"/>
    <w:rsid w:val="003B3B9E"/>
    <w:rsid w:val="003B41BE"/>
    <w:rsid w:val="003B4DAF"/>
    <w:rsid w:val="003C268E"/>
    <w:rsid w:val="003C2BF0"/>
    <w:rsid w:val="003C31BF"/>
    <w:rsid w:val="003C365B"/>
    <w:rsid w:val="003C552D"/>
    <w:rsid w:val="003C78A0"/>
    <w:rsid w:val="003D0A0E"/>
    <w:rsid w:val="003D3BD0"/>
    <w:rsid w:val="003D6A74"/>
    <w:rsid w:val="003D6EA8"/>
    <w:rsid w:val="003D76FB"/>
    <w:rsid w:val="003E03B2"/>
    <w:rsid w:val="003E0AD1"/>
    <w:rsid w:val="003E3D97"/>
    <w:rsid w:val="003E4FE6"/>
    <w:rsid w:val="003E5049"/>
    <w:rsid w:val="003E6C9C"/>
    <w:rsid w:val="003E7113"/>
    <w:rsid w:val="003E7695"/>
    <w:rsid w:val="003E7EC5"/>
    <w:rsid w:val="003F1026"/>
    <w:rsid w:val="003F21CA"/>
    <w:rsid w:val="003F2C6E"/>
    <w:rsid w:val="003F3124"/>
    <w:rsid w:val="003F41FA"/>
    <w:rsid w:val="003F4B79"/>
    <w:rsid w:val="00400A0A"/>
    <w:rsid w:val="00401B30"/>
    <w:rsid w:val="00401BF0"/>
    <w:rsid w:val="0040219D"/>
    <w:rsid w:val="0040299E"/>
    <w:rsid w:val="00402D6E"/>
    <w:rsid w:val="00403834"/>
    <w:rsid w:val="00403F35"/>
    <w:rsid w:val="004041E9"/>
    <w:rsid w:val="004048D3"/>
    <w:rsid w:val="00406715"/>
    <w:rsid w:val="004068C7"/>
    <w:rsid w:val="00407177"/>
    <w:rsid w:val="00407976"/>
    <w:rsid w:val="00410AEB"/>
    <w:rsid w:val="00414D59"/>
    <w:rsid w:val="0041554F"/>
    <w:rsid w:val="00415D1A"/>
    <w:rsid w:val="004164A0"/>
    <w:rsid w:val="00416A7E"/>
    <w:rsid w:val="00417E59"/>
    <w:rsid w:val="00421F2E"/>
    <w:rsid w:val="00422C71"/>
    <w:rsid w:val="0042390E"/>
    <w:rsid w:val="00423C83"/>
    <w:rsid w:val="00423DB7"/>
    <w:rsid w:val="004240CB"/>
    <w:rsid w:val="00426772"/>
    <w:rsid w:val="004310A8"/>
    <w:rsid w:val="00431228"/>
    <w:rsid w:val="00431B31"/>
    <w:rsid w:val="0043276E"/>
    <w:rsid w:val="004350D8"/>
    <w:rsid w:val="004356F9"/>
    <w:rsid w:val="004364B6"/>
    <w:rsid w:val="004365D5"/>
    <w:rsid w:val="0043681C"/>
    <w:rsid w:val="00436FE4"/>
    <w:rsid w:val="004374D8"/>
    <w:rsid w:val="004379ED"/>
    <w:rsid w:val="00441121"/>
    <w:rsid w:val="0044114D"/>
    <w:rsid w:val="00442528"/>
    <w:rsid w:val="0044281D"/>
    <w:rsid w:val="00442E0E"/>
    <w:rsid w:val="00443C3A"/>
    <w:rsid w:val="004449BE"/>
    <w:rsid w:val="00444C9B"/>
    <w:rsid w:val="00445100"/>
    <w:rsid w:val="0044541A"/>
    <w:rsid w:val="00445BF3"/>
    <w:rsid w:val="004502DC"/>
    <w:rsid w:val="0045218F"/>
    <w:rsid w:val="004537EB"/>
    <w:rsid w:val="004542BE"/>
    <w:rsid w:val="00454A17"/>
    <w:rsid w:val="00456540"/>
    <w:rsid w:val="00456B6D"/>
    <w:rsid w:val="00456F28"/>
    <w:rsid w:val="00457AEB"/>
    <w:rsid w:val="00457C21"/>
    <w:rsid w:val="00457E17"/>
    <w:rsid w:val="00460AB3"/>
    <w:rsid w:val="00461048"/>
    <w:rsid w:val="0046296A"/>
    <w:rsid w:val="00462F0A"/>
    <w:rsid w:val="0046383A"/>
    <w:rsid w:val="00463B0B"/>
    <w:rsid w:val="004642A2"/>
    <w:rsid w:val="00464A7E"/>
    <w:rsid w:val="004651AC"/>
    <w:rsid w:val="00465E8F"/>
    <w:rsid w:val="004674A2"/>
    <w:rsid w:val="00467532"/>
    <w:rsid w:val="0047095C"/>
    <w:rsid w:val="004715DB"/>
    <w:rsid w:val="00474C07"/>
    <w:rsid w:val="00474FEC"/>
    <w:rsid w:val="004755A5"/>
    <w:rsid w:val="00477D79"/>
    <w:rsid w:val="0048223F"/>
    <w:rsid w:val="004834ED"/>
    <w:rsid w:val="00484EAD"/>
    <w:rsid w:val="004854AC"/>
    <w:rsid w:val="00485516"/>
    <w:rsid w:val="00485EE7"/>
    <w:rsid w:val="00487D66"/>
    <w:rsid w:val="004931C1"/>
    <w:rsid w:val="00494BCA"/>
    <w:rsid w:val="00496C66"/>
    <w:rsid w:val="00497710"/>
    <w:rsid w:val="0049788B"/>
    <w:rsid w:val="004A345A"/>
    <w:rsid w:val="004A418C"/>
    <w:rsid w:val="004A4C69"/>
    <w:rsid w:val="004A5A34"/>
    <w:rsid w:val="004B17B1"/>
    <w:rsid w:val="004B24F3"/>
    <w:rsid w:val="004B285E"/>
    <w:rsid w:val="004B3F4E"/>
    <w:rsid w:val="004B5226"/>
    <w:rsid w:val="004B596A"/>
    <w:rsid w:val="004B6A70"/>
    <w:rsid w:val="004C3231"/>
    <w:rsid w:val="004C4884"/>
    <w:rsid w:val="004C4B74"/>
    <w:rsid w:val="004C59C1"/>
    <w:rsid w:val="004C64C3"/>
    <w:rsid w:val="004C6A36"/>
    <w:rsid w:val="004C71F9"/>
    <w:rsid w:val="004D2337"/>
    <w:rsid w:val="004D29EE"/>
    <w:rsid w:val="004D3784"/>
    <w:rsid w:val="004D3CE1"/>
    <w:rsid w:val="004D47D8"/>
    <w:rsid w:val="004D56B7"/>
    <w:rsid w:val="004D67E3"/>
    <w:rsid w:val="004E0F6C"/>
    <w:rsid w:val="004E2DAD"/>
    <w:rsid w:val="004E2ECE"/>
    <w:rsid w:val="004E38A0"/>
    <w:rsid w:val="004E3DE8"/>
    <w:rsid w:val="004E44EC"/>
    <w:rsid w:val="004E477D"/>
    <w:rsid w:val="004E5DBD"/>
    <w:rsid w:val="004E6DFB"/>
    <w:rsid w:val="004E7FC7"/>
    <w:rsid w:val="004F03C8"/>
    <w:rsid w:val="004F139D"/>
    <w:rsid w:val="004F1C34"/>
    <w:rsid w:val="004F2F2A"/>
    <w:rsid w:val="004F3C64"/>
    <w:rsid w:val="0050031D"/>
    <w:rsid w:val="00500EFF"/>
    <w:rsid w:val="005017C3"/>
    <w:rsid w:val="00502FA6"/>
    <w:rsid w:val="00504198"/>
    <w:rsid w:val="00504FFB"/>
    <w:rsid w:val="0050586D"/>
    <w:rsid w:val="00506A29"/>
    <w:rsid w:val="005071B1"/>
    <w:rsid w:val="005078C6"/>
    <w:rsid w:val="005105A9"/>
    <w:rsid w:val="00510923"/>
    <w:rsid w:val="00513789"/>
    <w:rsid w:val="00513A9D"/>
    <w:rsid w:val="0051487B"/>
    <w:rsid w:val="00514A46"/>
    <w:rsid w:val="00514BC5"/>
    <w:rsid w:val="005150AE"/>
    <w:rsid w:val="005164E7"/>
    <w:rsid w:val="005165D9"/>
    <w:rsid w:val="005205C7"/>
    <w:rsid w:val="00521201"/>
    <w:rsid w:val="005221EE"/>
    <w:rsid w:val="005222AE"/>
    <w:rsid w:val="0052319A"/>
    <w:rsid w:val="0052375E"/>
    <w:rsid w:val="0052399B"/>
    <w:rsid w:val="00525327"/>
    <w:rsid w:val="0052787B"/>
    <w:rsid w:val="0053045C"/>
    <w:rsid w:val="00530B2A"/>
    <w:rsid w:val="00531020"/>
    <w:rsid w:val="00531D69"/>
    <w:rsid w:val="0053310E"/>
    <w:rsid w:val="00533C60"/>
    <w:rsid w:val="00534D88"/>
    <w:rsid w:val="005354A1"/>
    <w:rsid w:val="00535EE7"/>
    <w:rsid w:val="00536363"/>
    <w:rsid w:val="0053726C"/>
    <w:rsid w:val="005425B0"/>
    <w:rsid w:val="00542A31"/>
    <w:rsid w:val="00543996"/>
    <w:rsid w:val="00543A35"/>
    <w:rsid w:val="00544076"/>
    <w:rsid w:val="005449C6"/>
    <w:rsid w:val="00545F84"/>
    <w:rsid w:val="00546892"/>
    <w:rsid w:val="005471FF"/>
    <w:rsid w:val="00547B83"/>
    <w:rsid w:val="00547FEC"/>
    <w:rsid w:val="005511D2"/>
    <w:rsid w:val="00552B6A"/>
    <w:rsid w:val="005534CF"/>
    <w:rsid w:val="00553810"/>
    <w:rsid w:val="00555BE0"/>
    <w:rsid w:val="00556A12"/>
    <w:rsid w:val="00557763"/>
    <w:rsid w:val="0056148A"/>
    <w:rsid w:val="005619C3"/>
    <w:rsid w:val="005624EA"/>
    <w:rsid w:val="00562BAF"/>
    <w:rsid w:val="00563B37"/>
    <w:rsid w:val="00563C4B"/>
    <w:rsid w:val="0056470F"/>
    <w:rsid w:val="00564FC3"/>
    <w:rsid w:val="00566BF0"/>
    <w:rsid w:val="005733E0"/>
    <w:rsid w:val="00574157"/>
    <w:rsid w:val="005743E5"/>
    <w:rsid w:val="00574683"/>
    <w:rsid w:val="0057497E"/>
    <w:rsid w:val="00574EFE"/>
    <w:rsid w:val="005758C3"/>
    <w:rsid w:val="00576111"/>
    <w:rsid w:val="00577DC5"/>
    <w:rsid w:val="0058005C"/>
    <w:rsid w:val="005809FA"/>
    <w:rsid w:val="005816CE"/>
    <w:rsid w:val="00582DB6"/>
    <w:rsid w:val="005852DA"/>
    <w:rsid w:val="00585F68"/>
    <w:rsid w:val="005872D3"/>
    <w:rsid w:val="00587743"/>
    <w:rsid w:val="0059138C"/>
    <w:rsid w:val="00594A21"/>
    <w:rsid w:val="0059681F"/>
    <w:rsid w:val="005969EA"/>
    <w:rsid w:val="00597AF0"/>
    <w:rsid w:val="005A24D4"/>
    <w:rsid w:val="005A25BC"/>
    <w:rsid w:val="005A3766"/>
    <w:rsid w:val="005A4C4F"/>
    <w:rsid w:val="005A5166"/>
    <w:rsid w:val="005A774D"/>
    <w:rsid w:val="005B0B66"/>
    <w:rsid w:val="005B2F18"/>
    <w:rsid w:val="005B57CA"/>
    <w:rsid w:val="005B6B56"/>
    <w:rsid w:val="005B6C48"/>
    <w:rsid w:val="005B706F"/>
    <w:rsid w:val="005B7AFC"/>
    <w:rsid w:val="005C13DA"/>
    <w:rsid w:val="005C15A7"/>
    <w:rsid w:val="005C24B3"/>
    <w:rsid w:val="005C2860"/>
    <w:rsid w:val="005C2DB6"/>
    <w:rsid w:val="005C363E"/>
    <w:rsid w:val="005C41AF"/>
    <w:rsid w:val="005C4D0E"/>
    <w:rsid w:val="005C5F77"/>
    <w:rsid w:val="005C6793"/>
    <w:rsid w:val="005D0618"/>
    <w:rsid w:val="005D376D"/>
    <w:rsid w:val="005D45B6"/>
    <w:rsid w:val="005D7589"/>
    <w:rsid w:val="005D7B46"/>
    <w:rsid w:val="005D7E22"/>
    <w:rsid w:val="005E1B51"/>
    <w:rsid w:val="005E25AE"/>
    <w:rsid w:val="005E31D0"/>
    <w:rsid w:val="005E43A8"/>
    <w:rsid w:val="005E4D15"/>
    <w:rsid w:val="005E544A"/>
    <w:rsid w:val="005E55A5"/>
    <w:rsid w:val="005E5906"/>
    <w:rsid w:val="005E593E"/>
    <w:rsid w:val="005F0438"/>
    <w:rsid w:val="005F0EF9"/>
    <w:rsid w:val="005F2F79"/>
    <w:rsid w:val="005F3213"/>
    <w:rsid w:val="005F40A3"/>
    <w:rsid w:val="005F444E"/>
    <w:rsid w:val="005F4A85"/>
    <w:rsid w:val="005F5FA8"/>
    <w:rsid w:val="005F6830"/>
    <w:rsid w:val="00600CD1"/>
    <w:rsid w:val="006031AD"/>
    <w:rsid w:val="00603520"/>
    <w:rsid w:val="00604EE2"/>
    <w:rsid w:val="0060654D"/>
    <w:rsid w:val="006078F5"/>
    <w:rsid w:val="0061196F"/>
    <w:rsid w:val="00611DA0"/>
    <w:rsid w:val="00611DF9"/>
    <w:rsid w:val="00613729"/>
    <w:rsid w:val="0061404D"/>
    <w:rsid w:val="00617CEB"/>
    <w:rsid w:val="0062058B"/>
    <w:rsid w:val="006228C5"/>
    <w:rsid w:val="00625C27"/>
    <w:rsid w:val="00626749"/>
    <w:rsid w:val="00626DC7"/>
    <w:rsid w:val="00630179"/>
    <w:rsid w:val="0063052E"/>
    <w:rsid w:val="00631787"/>
    <w:rsid w:val="0063199D"/>
    <w:rsid w:val="00632D93"/>
    <w:rsid w:val="00635103"/>
    <w:rsid w:val="006353B5"/>
    <w:rsid w:val="006354AC"/>
    <w:rsid w:val="0063624C"/>
    <w:rsid w:val="00637234"/>
    <w:rsid w:val="00637B30"/>
    <w:rsid w:val="00637EA4"/>
    <w:rsid w:val="00642490"/>
    <w:rsid w:val="00644952"/>
    <w:rsid w:val="0064551C"/>
    <w:rsid w:val="00647CCD"/>
    <w:rsid w:val="00650729"/>
    <w:rsid w:val="00650DF4"/>
    <w:rsid w:val="00651E00"/>
    <w:rsid w:val="006526B7"/>
    <w:rsid w:val="0065526D"/>
    <w:rsid w:val="006559C2"/>
    <w:rsid w:val="00656061"/>
    <w:rsid w:val="00656126"/>
    <w:rsid w:val="00656A30"/>
    <w:rsid w:val="00656BD5"/>
    <w:rsid w:val="00657008"/>
    <w:rsid w:val="006571E9"/>
    <w:rsid w:val="006608C5"/>
    <w:rsid w:val="00661649"/>
    <w:rsid w:val="00663AC7"/>
    <w:rsid w:val="0066429A"/>
    <w:rsid w:val="006642BF"/>
    <w:rsid w:val="00664E70"/>
    <w:rsid w:val="006650E4"/>
    <w:rsid w:val="00666268"/>
    <w:rsid w:val="006675A6"/>
    <w:rsid w:val="006677A6"/>
    <w:rsid w:val="00670271"/>
    <w:rsid w:val="00672C82"/>
    <w:rsid w:val="00673E49"/>
    <w:rsid w:val="00674298"/>
    <w:rsid w:val="006747D0"/>
    <w:rsid w:val="00677E11"/>
    <w:rsid w:val="00681FC9"/>
    <w:rsid w:val="00683E35"/>
    <w:rsid w:val="00683E53"/>
    <w:rsid w:val="006851C9"/>
    <w:rsid w:val="0068598D"/>
    <w:rsid w:val="00686C9A"/>
    <w:rsid w:val="00687298"/>
    <w:rsid w:val="00687F34"/>
    <w:rsid w:val="0069195B"/>
    <w:rsid w:val="00691D99"/>
    <w:rsid w:val="006924A7"/>
    <w:rsid w:val="006931E2"/>
    <w:rsid w:val="006939C5"/>
    <w:rsid w:val="006950E1"/>
    <w:rsid w:val="00695B35"/>
    <w:rsid w:val="00695CB3"/>
    <w:rsid w:val="00695E65"/>
    <w:rsid w:val="006967B4"/>
    <w:rsid w:val="006A0830"/>
    <w:rsid w:val="006A3F0C"/>
    <w:rsid w:val="006A5B87"/>
    <w:rsid w:val="006A6047"/>
    <w:rsid w:val="006B0472"/>
    <w:rsid w:val="006B0A79"/>
    <w:rsid w:val="006B0D76"/>
    <w:rsid w:val="006B1EFB"/>
    <w:rsid w:val="006B21ED"/>
    <w:rsid w:val="006B268B"/>
    <w:rsid w:val="006B39EB"/>
    <w:rsid w:val="006B5C59"/>
    <w:rsid w:val="006B6248"/>
    <w:rsid w:val="006B630A"/>
    <w:rsid w:val="006C11FC"/>
    <w:rsid w:val="006C2A79"/>
    <w:rsid w:val="006C3087"/>
    <w:rsid w:val="006C39D8"/>
    <w:rsid w:val="006C4479"/>
    <w:rsid w:val="006C51D5"/>
    <w:rsid w:val="006C62F7"/>
    <w:rsid w:val="006C759E"/>
    <w:rsid w:val="006D19DD"/>
    <w:rsid w:val="006D31E5"/>
    <w:rsid w:val="006D3B05"/>
    <w:rsid w:val="006D3BE9"/>
    <w:rsid w:val="006D5329"/>
    <w:rsid w:val="006D7CFE"/>
    <w:rsid w:val="006D7E32"/>
    <w:rsid w:val="006E0602"/>
    <w:rsid w:val="006E3421"/>
    <w:rsid w:val="006E42F9"/>
    <w:rsid w:val="006E4624"/>
    <w:rsid w:val="006E51B8"/>
    <w:rsid w:val="006E5C38"/>
    <w:rsid w:val="006F0BA1"/>
    <w:rsid w:val="006F0E39"/>
    <w:rsid w:val="006F25FA"/>
    <w:rsid w:val="006F2F9B"/>
    <w:rsid w:val="006F7440"/>
    <w:rsid w:val="006F75D9"/>
    <w:rsid w:val="006F7AED"/>
    <w:rsid w:val="0070035E"/>
    <w:rsid w:val="00700717"/>
    <w:rsid w:val="00701067"/>
    <w:rsid w:val="00701525"/>
    <w:rsid w:val="007024D3"/>
    <w:rsid w:val="00702890"/>
    <w:rsid w:val="0070493B"/>
    <w:rsid w:val="0070498D"/>
    <w:rsid w:val="00705EEE"/>
    <w:rsid w:val="0070625D"/>
    <w:rsid w:val="0070653E"/>
    <w:rsid w:val="0070754A"/>
    <w:rsid w:val="00707D41"/>
    <w:rsid w:val="00707ECE"/>
    <w:rsid w:val="00710354"/>
    <w:rsid w:val="00710484"/>
    <w:rsid w:val="00710516"/>
    <w:rsid w:val="0071061B"/>
    <w:rsid w:val="00710C22"/>
    <w:rsid w:val="00711160"/>
    <w:rsid w:val="007118A0"/>
    <w:rsid w:val="00712817"/>
    <w:rsid w:val="007131F0"/>
    <w:rsid w:val="00713A88"/>
    <w:rsid w:val="007141F9"/>
    <w:rsid w:val="00714D3D"/>
    <w:rsid w:val="00721564"/>
    <w:rsid w:val="0072186D"/>
    <w:rsid w:val="007235F0"/>
    <w:rsid w:val="00724C17"/>
    <w:rsid w:val="00725304"/>
    <w:rsid w:val="007260E6"/>
    <w:rsid w:val="0072612C"/>
    <w:rsid w:val="007261ED"/>
    <w:rsid w:val="00726848"/>
    <w:rsid w:val="00727246"/>
    <w:rsid w:val="00727D09"/>
    <w:rsid w:val="00731071"/>
    <w:rsid w:val="007315AF"/>
    <w:rsid w:val="00731C59"/>
    <w:rsid w:val="007320B7"/>
    <w:rsid w:val="007322A3"/>
    <w:rsid w:val="0073348C"/>
    <w:rsid w:val="00733D13"/>
    <w:rsid w:val="00733E8D"/>
    <w:rsid w:val="00733F28"/>
    <w:rsid w:val="007417BD"/>
    <w:rsid w:val="00741ECF"/>
    <w:rsid w:val="0074213F"/>
    <w:rsid w:val="0074668C"/>
    <w:rsid w:val="00746C5D"/>
    <w:rsid w:val="00750020"/>
    <w:rsid w:val="0075168E"/>
    <w:rsid w:val="007516C4"/>
    <w:rsid w:val="00751B2D"/>
    <w:rsid w:val="007528BB"/>
    <w:rsid w:val="00753385"/>
    <w:rsid w:val="00754429"/>
    <w:rsid w:val="00754607"/>
    <w:rsid w:val="007549AF"/>
    <w:rsid w:val="00754F9A"/>
    <w:rsid w:val="007553FD"/>
    <w:rsid w:val="007556CB"/>
    <w:rsid w:val="00756FA8"/>
    <w:rsid w:val="00760540"/>
    <w:rsid w:val="007611C0"/>
    <w:rsid w:val="00761369"/>
    <w:rsid w:val="00761B54"/>
    <w:rsid w:val="00762CA7"/>
    <w:rsid w:val="007630EC"/>
    <w:rsid w:val="00763944"/>
    <w:rsid w:val="00764F07"/>
    <w:rsid w:val="00765131"/>
    <w:rsid w:val="0076617A"/>
    <w:rsid w:val="00766443"/>
    <w:rsid w:val="00770830"/>
    <w:rsid w:val="00771B8D"/>
    <w:rsid w:val="00772BBD"/>
    <w:rsid w:val="00772C29"/>
    <w:rsid w:val="00773F91"/>
    <w:rsid w:val="0077429A"/>
    <w:rsid w:val="0077446F"/>
    <w:rsid w:val="00775814"/>
    <w:rsid w:val="0077677F"/>
    <w:rsid w:val="00777756"/>
    <w:rsid w:val="00777E30"/>
    <w:rsid w:val="00780542"/>
    <w:rsid w:val="00783C56"/>
    <w:rsid w:val="007853BF"/>
    <w:rsid w:val="00787289"/>
    <w:rsid w:val="007907D3"/>
    <w:rsid w:val="00790F4D"/>
    <w:rsid w:val="007929ED"/>
    <w:rsid w:val="00793599"/>
    <w:rsid w:val="00793809"/>
    <w:rsid w:val="00794C57"/>
    <w:rsid w:val="00794CD4"/>
    <w:rsid w:val="00795620"/>
    <w:rsid w:val="007958E0"/>
    <w:rsid w:val="00795DFF"/>
    <w:rsid w:val="00796BF2"/>
    <w:rsid w:val="0079711C"/>
    <w:rsid w:val="00797C56"/>
    <w:rsid w:val="007A0047"/>
    <w:rsid w:val="007A015F"/>
    <w:rsid w:val="007A09B5"/>
    <w:rsid w:val="007A1437"/>
    <w:rsid w:val="007A5281"/>
    <w:rsid w:val="007A5D16"/>
    <w:rsid w:val="007A6F6E"/>
    <w:rsid w:val="007B0292"/>
    <w:rsid w:val="007B1C0E"/>
    <w:rsid w:val="007B42C9"/>
    <w:rsid w:val="007C330B"/>
    <w:rsid w:val="007C50AC"/>
    <w:rsid w:val="007C59B0"/>
    <w:rsid w:val="007C60DD"/>
    <w:rsid w:val="007C6643"/>
    <w:rsid w:val="007C6DC1"/>
    <w:rsid w:val="007D0BEB"/>
    <w:rsid w:val="007D106E"/>
    <w:rsid w:val="007D1091"/>
    <w:rsid w:val="007D27E9"/>
    <w:rsid w:val="007D36D3"/>
    <w:rsid w:val="007D4CDC"/>
    <w:rsid w:val="007D555F"/>
    <w:rsid w:val="007D573C"/>
    <w:rsid w:val="007E11B1"/>
    <w:rsid w:val="007E1308"/>
    <w:rsid w:val="007E30F1"/>
    <w:rsid w:val="007E38D8"/>
    <w:rsid w:val="007E41BB"/>
    <w:rsid w:val="007E534B"/>
    <w:rsid w:val="007E5F87"/>
    <w:rsid w:val="007E6392"/>
    <w:rsid w:val="007E70AA"/>
    <w:rsid w:val="007E7A0B"/>
    <w:rsid w:val="007F17E6"/>
    <w:rsid w:val="007F245F"/>
    <w:rsid w:val="007F2EE7"/>
    <w:rsid w:val="007F3112"/>
    <w:rsid w:val="007F3454"/>
    <w:rsid w:val="007F4F3B"/>
    <w:rsid w:val="0080051C"/>
    <w:rsid w:val="008006AB"/>
    <w:rsid w:val="00800B24"/>
    <w:rsid w:val="008038FA"/>
    <w:rsid w:val="008045AB"/>
    <w:rsid w:val="0080518C"/>
    <w:rsid w:val="00805386"/>
    <w:rsid w:val="00805962"/>
    <w:rsid w:val="00805BB2"/>
    <w:rsid w:val="00805E38"/>
    <w:rsid w:val="00806752"/>
    <w:rsid w:val="008069FF"/>
    <w:rsid w:val="00811050"/>
    <w:rsid w:val="008113A7"/>
    <w:rsid w:val="00811A2E"/>
    <w:rsid w:val="008122F2"/>
    <w:rsid w:val="008143DB"/>
    <w:rsid w:val="0081469A"/>
    <w:rsid w:val="00814D54"/>
    <w:rsid w:val="0081519D"/>
    <w:rsid w:val="00816C73"/>
    <w:rsid w:val="008216F1"/>
    <w:rsid w:val="008230FB"/>
    <w:rsid w:val="0082319A"/>
    <w:rsid w:val="00824D80"/>
    <w:rsid w:val="008305DA"/>
    <w:rsid w:val="0083140B"/>
    <w:rsid w:val="00831628"/>
    <w:rsid w:val="00833C9B"/>
    <w:rsid w:val="008345DC"/>
    <w:rsid w:val="00835563"/>
    <w:rsid w:val="008355C2"/>
    <w:rsid w:val="00837391"/>
    <w:rsid w:val="0084081C"/>
    <w:rsid w:val="00840844"/>
    <w:rsid w:val="00840CC8"/>
    <w:rsid w:val="00840E44"/>
    <w:rsid w:val="0084232E"/>
    <w:rsid w:val="008423BB"/>
    <w:rsid w:val="008427C6"/>
    <w:rsid w:val="00844216"/>
    <w:rsid w:val="00844A35"/>
    <w:rsid w:val="00844E09"/>
    <w:rsid w:val="0084545B"/>
    <w:rsid w:val="00846033"/>
    <w:rsid w:val="00846199"/>
    <w:rsid w:val="008508F6"/>
    <w:rsid w:val="00850F1A"/>
    <w:rsid w:val="00854C25"/>
    <w:rsid w:val="008554A7"/>
    <w:rsid w:val="0085570F"/>
    <w:rsid w:val="00855A00"/>
    <w:rsid w:val="00855D14"/>
    <w:rsid w:val="008560AD"/>
    <w:rsid w:val="00856339"/>
    <w:rsid w:val="00856887"/>
    <w:rsid w:val="008651EC"/>
    <w:rsid w:val="00866CEA"/>
    <w:rsid w:val="008708AE"/>
    <w:rsid w:val="00870D63"/>
    <w:rsid w:val="008710AD"/>
    <w:rsid w:val="00871166"/>
    <w:rsid w:val="008713CC"/>
    <w:rsid w:val="00872034"/>
    <w:rsid w:val="00872542"/>
    <w:rsid w:val="00872F23"/>
    <w:rsid w:val="00874121"/>
    <w:rsid w:val="00876132"/>
    <w:rsid w:val="008772F3"/>
    <w:rsid w:val="008773A0"/>
    <w:rsid w:val="00877CFC"/>
    <w:rsid w:val="008803E7"/>
    <w:rsid w:val="00881995"/>
    <w:rsid w:val="00883525"/>
    <w:rsid w:val="008849E2"/>
    <w:rsid w:val="00885BF6"/>
    <w:rsid w:val="0088616C"/>
    <w:rsid w:val="00887BD7"/>
    <w:rsid w:val="00887DAC"/>
    <w:rsid w:val="00887E2F"/>
    <w:rsid w:val="00890B9D"/>
    <w:rsid w:val="00890FD5"/>
    <w:rsid w:val="00891833"/>
    <w:rsid w:val="008918F9"/>
    <w:rsid w:val="00894202"/>
    <w:rsid w:val="00894580"/>
    <w:rsid w:val="00895109"/>
    <w:rsid w:val="00896647"/>
    <w:rsid w:val="0089694C"/>
    <w:rsid w:val="00897C71"/>
    <w:rsid w:val="008A0BA3"/>
    <w:rsid w:val="008A2AD9"/>
    <w:rsid w:val="008A5746"/>
    <w:rsid w:val="008A57AC"/>
    <w:rsid w:val="008A5BFA"/>
    <w:rsid w:val="008A7519"/>
    <w:rsid w:val="008A7BE3"/>
    <w:rsid w:val="008B08A9"/>
    <w:rsid w:val="008B26D5"/>
    <w:rsid w:val="008B488C"/>
    <w:rsid w:val="008B4F68"/>
    <w:rsid w:val="008B5549"/>
    <w:rsid w:val="008B580F"/>
    <w:rsid w:val="008B5968"/>
    <w:rsid w:val="008B7F2D"/>
    <w:rsid w:val="008C2817"/>
    <w:rsid w:val="008C3EA6"/>
    <w:rsid w:val="008C3FD3"/>
    <w:rsid w:val="008C40A3"/>
    <w:rsid w:val="008C4175"/>
    <w:rsid w:val="008C576E"/>
    <w:rsid w:val="008C5FE0"/>
    <w:rsid w:val="008C62E5"/>
    <w:rsid w:val="008C6818"/>
    <w:rsid w:val="008D1B57"/>
    <w:rsid w:val="008D2C37"/>
    <w:rsid w:val="008D402C"/>
    <w:rsid w:val="008D53E1"/>
    <w:rsid w:val="008D579E"/>
    <w:rsid w:val="008D5973"/>
    <w:rsid w:val="008D5A9F"/>
    <w:rsid w:val="008D654F"/>
    <w:rsid w:val="008D65DE"/>
    <w:rsid w:val="008D70C0"/>
    <w:rsid w:val="008E0603"/>
    <w:rsid w:val="008E0B7D"/>
    <w:rsid w:val="008E26CD"/>
    <w:rsid w:val="008E2AAB"/>
    <w:rsid w:val="008E2B3A"/>
    <w:rsid w:val="008E3128"/>
    <w:rsid w:val="008E57D7"/>
    <w:rsid w:val="008F09F9"/>
    <w:rsid w:val="008F0A84"/>
    <w:rsid w:val="008F0A94"/>
    <w:rsid w:val="008F1F8E"/>
    <w:rsid w:val="008F30D2"/>
    <w:rsid w:val="008F3490"/>
    <w:rsid w:val="008F35FF"/>
    <w:rsid w:val="008F4246"/>
    <w:rsid w:val="008F4F7C"/>
    <w:rsid w:val="008F50D9"/>
    <w:rsid w:val="00900AD8"/>
    <w:rsid w:val="00902A1C"/>
    <w:rsid w:val="00903130"/>
    <w:rsid w:val="00903485"/>
    <w:rsid w:val="0090588C"/>
    <w:rsid w:val="00905BEA"/>
    <w:rsid w:val="009063C1"/>
    <w:rsid w:val="009100FC"/>
    <w:rsid w:val="009104AA"/>
    <w:rsid w:val="00913DFC"/>
    <w:rsid w:val="00914D2C"/>
    <w:rsid w:val="00914FBF"/>
    <w:rsid w:val="0091765E"/>
    <w:rsid w:val="00920C7B"/>
    <w:rsid w:val="00920F52"/>
    <w:rsid w:val="00920FDF"/>
    <w:rsid w:val="0092196F"/>
    <w:rsid w:val="0092281D"/>
    <w:rsid w:val="009256FC"/>
    <w:rsid w:val="00926DF3"/>
    <w:rsid w:val="0093023A"/>
    <w:rsid w:val="00932320"/>
    <w:rsid w:val="00932407"/>
    <w:rsid w:val="00933CCD"/>
    <w:rsid w:val="00933EE5"/>
    <w:rsid w:val="00935527"/>
    <w:rsid w:val="009362A9"/>
    <w:rsid w:val="009376A9"/>
    <w:rsid w:val="00937DEB"/>
    <w:rsid w:val="009407D0"/>
    <w:rsid w:val="0094103F"/>
    <w:rsid w:val="00941D89"/>
    <w:rsid w:val="00943057"/>
    <w:rsid w:val="00944491"/>
    <w:rsid w:val="009450DC"/>
    <w:rsid w:val="0095166B"/>
    <w:rsid w:val="009551D4"/>
    <w:rsid w:val="00957AD3"/>
    <w:rsid w:val="009602B8"/>
    <w:rsid w:val="009610F7"/>
    <w:rsid w:val="00961690"/>
    <w:rsid w:val="00961E6F"/>
    <w:rsid w:val="009655E3"/>
    <w:rsid w:val="0096726E"/>
    <w:rsid w:val="0097008E"/>
    <w:rsid w:val="00970E95"/>
    <w:rsid w:val="0097404D"/>
    <w:rsid w:val="00974243"/>
    <w:rsid w:val="009745F9"/>
    <w:rsid w:val="009748EF"/>
    <w:rsid w:val="00974B1E"/>
    <w:rsid w:val="00975572"/>
    <w:rsid w:val="00977324"/>
    <w:rsid w:val="009808FE"/>
    <w:rsid w:val="00980C7D"/>
    <w:rsid w:val="00982533"/>
    <w:rsid w:val="00983991"/>
    <w:rsid w:val="00983A90"/>
    <w:rsid w:val="0098438E"/>
    <w:rsid w:val="0098673B"/>
    <w:rsid w:val="0099015D"/>
    <w:rsid w:val="009903D4"/>
    <w:rsid w:val="009910F2"/>
    <w:rsid w:val="00992046"/>
    <w:rsid w:val="00993C02"/>
    <w:rsid w:val="00995F78"/>
    <w:rsid w:val="00996E4B"/>
    <w:rsid w:val="0099740C"/>
    <w:rsid w:val="009A052C"/>
    <w:rsid w:val="009A273A"/>
    <w:rsid w:val="009A2A41"/>
    <w:rsid w:val="009A381C"/>
    <w:rsid w:val="009A4A0D"/>
    <w:rsid w:val="009A68DC"/>
    <w:rsid w:val="009A720E"/>
    <w:rsid w:val="009A7682"/>
    <w:rsid w:val="009A7AC0"/>
    <w:rsid w:val="009A7CC4"/>
    <w:rsid w:val="009B1193"/>
    <w:rsid w:val="009B20E8"/>
    <w:rsid w:val="009B3DCB"/>
    <w:rsid w:val="009B3F05"/>
    <w:rsid w:val="009B4695"/>
    <w:rsid w:val="009B4EF6"/>
    <w:rsid w:val="009B63B2"/>
    <w:rsid w:val="009C0C85"/>
    <w:rsid w:val="009C0F8B"/>
    <w:rsid w:val="009C134E"/>
    <w:rsid w:val="009C1D4F"/>
    <w:rsid w:val="009C1FD2"/>
    <w:rsid w:val="009C2824"/>
    <w:rsid w:val="009C36A6"/>
    <w:rsid w:val="009C37EE"/>
    <w:rsid w:val="009C6A10"/>
    <w:rsid w:val="009C7F37"/>
    <w:rsid w:val="009D17E1"/>
    <w:rsid w:val="009D2F64"/>
    <w:rsid w:val="009D3E13"/>
    <w:rsid w:val="009D5C2B"/>
    <w:rsid w:val="009D7002"/>
    <w:rsid w:val="009D7529"/>
    <w:rsid w:val="009E01D7"/>
    <w:rsid w:val="009E0E31"/>
    <w:rsid w:val="009E14B4"/>
    <w:rsid w:val="009E1F31"/>
    <w:rsid w:val="009E5774"/>
    <w:rsid w:val="009E7AC9"/>
    <w:rsid w:val="009F0DB4"/>
    <w:rsid w:val="009F0E24"/>
    <w:rsid w:val="009F12E9"/>
    <w:rsid w:val="009F2FA9"/>
    <w:rsid w:val="009F4967"/>
    <w:rsid w:val="009F4A99"/>
    <w:rsid w:val="009F4D4E"/>
    <w:rsid w:val="009F5301"/>
    <w:rsid w:val="009F6E22"/>
    <w:rsid w:val="009F757A"/>
    <w:rsid w:val="009F7C20"/>
    <w:rsid w:val="00A00ACD"/>
    <w:rsid w:val="00A00FC3"/>
    <w:rsid w:val="00A01A3D"/>
    <w:rsid w:val="00A061F7"/>
    <w:rsid w:val="00A07735"/>
    <w:rsid w:val="00A07E31"/>
    <w:rsid w:val="00A141CB"/>
    <w:rsid w:val="00A144D9"/>
    <w:rsid w:val="00A14E0F"/>
    <w:rsid w:val="00A14E82"/>
    <w:rsid w:val="00A15C61"/>
    <w:rsid w:val="00A166A4"/>
    <w:rsid w:val="00A167A3"/>
    <w:rsid w:val="00A21DC8"/>
    <w:rsid w:val="00A2200E"/>
    <w:rsid w:val="00A22073"/>
    <w:rsid w:val="00A22FB9"/>
    <w:rsid w:val="00A23A6C"/>
    <w:rsid w:val="00A2482A"/>
    <w:rsid w:val="00A269E6"/>
    <w:rsid w:val="00A26E37"/>
    <w:rsid w:val="00A30134"/>
    <w:rsid w:val="00A3020A"/>
    <w:rsid w:val="00A30328"/>
    <w:rsid w:val="00A31AE2"/>
    <w:rsid w:val="00A32600"/>
    <w:rsid w:val="00A32A6A"/>
    <w:rsid w:val="00A32C5D"/>
    <w:rsid w:val="00A36E07"/>
    <w:rsid w:val="00A41078"/>
    <w:rsid w:val="00A41A6D"/>
    <w:rsid w:val="00A41EC8"/>
    <w:rsid w:val="00A42664"/>
    <w:rsid w:val="00A428AA"/>
    <w:rsid w:val="00A4440E"/>
    <w:rsid w:val="00A4443C"/>
    <w:rsid w:val="00A44626"/>
    <w:rsid w:val="00A44DCE"/>
    <w:rsid w:val="00A470D0"/>
    <w:rsid w:val="00A47D99"/>
    <w:rsid w:val="00A5027E"/>
    <w:rsid w:val="00A508A4"/>
    <w:rsid w:val="00A51C90"/>
    <w:rsid w:val="00A52849"/>
    <w:rsid w:val="00A539FA"/>
    <w:rsid w:val="00A547BF"/>
    <w:rsid w:val="00A55673"/>
    <w:rsid w:val="00A55832"/>
    <w:rsid w:val="00A559B7"/>
    <w:rsid w:val="00A56C13"/>
    <w:rsid w:val="00A5721E"/>
    <w:rsid w:val="00A57B1E"/>
    <w:rsid w:val="00A6184E"/>
    <w:rsid w:val="00A6426D"/>
    <w:rsid w:val="00A65F5A"/>
    <w:rsid w:val="00A66CF5"/>
    <w:rsid w:val="00A67213"/>
    <w:rsid w:val="00A67908"/>
    <w:rsid w:val="00A7039F"/>
    <w:rsid w:val="00A70459"/>
    <w:rsid w:val="00A70ECC"/>
    <w:rsid w:val="00A7247A"/>
    <w:rsid w:val="00A735FB"/>
    <w:rsid w:val="00A746FE"/>
    <w:rsid w:val="00A750D7"/>
    <w:rsid w:val="00A75829"/>
    <w:rsid w:val="00A76002"/>
    <w:rsid w:val="00A774BA"/>
    <w:rsid w:val="00A7778A"/>
    <w:rsid w:val="00A77F02"/>
    <w:rsid w:val="00A81326"/>
    <w:rsid w:val="00A82B8B"/>
    <w:rsid w:val="00A85F5E"/>
    <w:rsid w:val="00A87A08"/>
    <w:rsid w:val="00A91695"/>
    <w:rsid w:val="00A91C7D"/>
    <w:rsid w:val="00A92973"/>
    <w:rsid w:val="00A93587"/>
    <w:rsid w:val="00A94121"/>
    <w:rsid w:val="00A95C9C"/>
    <w:rsid w:val="00A97226"/>
    <w:rsid w:val="00A9732E"/>
    <w:rsid w:val="00AA0439"/>
    <w:rsid w:val="00AA1671"/>
    <w:rsid w:val="00AA3115"/>
    <w:rsid w:val="00AA5FAD"/>
    <w:rsid w:val="00AA666B"/>
    <w:rsid w:val="00AA7A10"/>
    <w:rsid w:val="00AA7B59"/>
    <w:rsid w:val="00AB0C9B"/>
    <w:rsid w:val="00AB1132"/>
    <w:rsid w:val="00AB45EF"/>
    <w:rsid w:val="00AB5431"/>
    <w:rsid w:val="00AB54C0"/>
    <w:rsid w:val="00AB636D"/>
    <w:rsid w:val="00AB67F8"/>
    <w:rsid w:val="00AB6EEF"/>
    <w:rsid w:val="00AB7106"/>
    <w:rsid w:val="00AB7DDB"/>
    <w:rsid w:val="00AC0550"/>
    <w:rsid w:val="00AC0F70"/>
    <w:rsid w:val="00AC1903"/>
    <w:rsid w:val="00AC21AE"/>
    <w:rsid w:val="00AC2740"/>
    <w:rsid w:val="00AC3286"/>
    <w:rsid w:val="00AC44D9"/>
    <w:rsid w:val="00AC504C"/>
    <w:rsid w:val="00AC75B3"/>
    <w:rsid w:val="00AD117C"/>
    <w:rsid w:val="00AD1DFE"/>
    <w:rsid w:val="00AD21DD"/>
    <w:rsid w:val="00AD27CB"/>
    <w:rsid w:val="00AD36D6"/>
    <w:rsid w:val="00AD4932"/>
    <w:rsid w:val="00AD577B"/>
    <w:rsid w:val="00AD5BCA"/>
    <w:rsid w:val="00AD5DA7"/>
    <w:rsid w:val="00AD76CD"/>
    <w:rsid w:val="00AD7D41"/>
    <w:rsid w:val="00AE0791"/>
    <w:rsid w:val="00AE1DB7"/>
    <w:rsid w:val="00AE235E"/>
    <w:rsid w:val="00AE3681"/>
    <w:rsid w:val="00AE3A7F"/>
    <w:rsid w:val="00AE4AC4"/>
    <w:rsid w:val="00AE5195"/>
    <w:rsid w:val="00AE600D"/>
    <w:rsid w:val="00AE7060"/>
    <w:rsid w:val="00AF1BFF"/>
    <w:rsid w:val="00AF1EEC"/>
    <w:rsid w:val="00AF240D"/>
    <w:rsid w:val="00AF24A6"/>
    <w:rsid w:val="00AF4206"/>
    <w:rsid w:val="00AF4299"/>
    <w:rsid w:val="00AF69D2"/>
    <w:rsid w:val="00B00100"/>
    <w:rsid w:val="00B01979"/>
    <w:rsid w:val="00B02979"/>
    <w:rsid w:val="00B02E0F"/>
    <w:rsid w:val="00B03F65"/>
    <w:rsid w:val="00B04750"/>
    <w:rsid w:val="00B0492D"/>
    <w:rsid w:val="00B04F04"/>
    <w:rsid w:val="00B0507A"/>
    <w:rsid w:val="00B06D72"/>
    <w:rsid w:val="00B105CC"/>
    <w:rsid w:val="00B10712"/>
    <w:rsid w:val="00B112CA"/>
    <w:rsid w:val="00B12C22"/>
    <w:rsid w:val="00B1418C"/>
    <w:rsid w:val="00B16F70"/>
    <w:rsid w:val="00B2021D"/>
    <w:rsid w:val="00B20CFB"/>
    <w:rsid w:val="00B211C0"/>
    <w:rsid w:val="00B217ED"/>
    <w:rsid w:val="00B218D1"/>
    <w:rsid w:val="00B21C25"/>
    <w:rsid w:val="00B22FB2"/>
    <w:rsid w:val="00B23E47"/>
    <w:rsid w:val="00B2442D"/>
    <w:rsid w:val="00B27A86"/>
    <w:rsid w:val="00B27B99"/>
    <w:rsid w:val="00B30011"/>
    <w:rsid w:val="00B30E42"/>
    <w:rsid w:val="00B34474"/>
    <w:rsid w:val="00B35A0F"/>
    <w:rsid w:val="00B36C96"/>
    <w:rsid w:val="00B3700F"/>
    <w:rsid w:val="00B37D9C"/>
    <w:rsid w:val="00B4303D"/>
    <w:rsid w:val="00B47166"/>
    <w:rsid w:val="00B474C4"/>
    <w:rsid w:val="00B52711"/>
    <w:rsid w:val="00B53DB6"/>
    <w:rsid w:val="00B5538A"/>
    <w:rsid w:val="00B56D32"/>
    <w:rsid w:val="00B57F6D"/>
    <w:rsid w:val="00B61568"/>
    <w:rsid w:val="00B6210D"/>
    <w:rsid w:val="00B62232"/>
    <w:rsid w:val="00B62DC9"/>
    <w:rsid w:val="00B64043"/>
    <w:rsid w:val="00B652F8"/>
    <w:rsid w:val="00B664BB"/>
    <w:rsid w:val="00B66CCE"/>
    <w:rsid w:val="00B670D6"/>
    <w:rsid w:val="00B67326"/>
    <w:rsid w:val="00B67F39"/>
    <w:rsid w:val="00B700E2"/>
    <w:rsid w:val="00B7271D"/>
    <w:rsid w:val="00B74AE3"/>
    <w:rsid w:val="00B754C9"/>
    <w:rsid w:val="00B76FFA"/>
    <w:rsid w:val="00B808AA"/>
    <w:rsid w:val="00B83839"/>
    <w:rsid w:val="00B845E0"/>
    <w:rsid w:val="00B8498B"/>
    <w:rsid w:val="00B854A7"/>
    <w:rsid w:val="00B85BD9"/>
    <w:rsid w:val="00B8642A"/>
    <w:rsid w:val="00B9033F"/>
    <w:rsid w:val="00B903A4"/>
    <w:rsid w:val="00B910FE"/>
    <w:rsid w:val="00B93C99"/>
    <w:rsid w:val="00B93DF0"/>
    <w:rsid w:val="00B95A36"/>
    <w:rsid w:val="00B96029"/>
    <w:rsid w:val="00BA01D9"/>
    <w:rsid w:val="00BA21BC"/>
    <w:rsid w:val="00BA264B"/>
    <w:rsid w:val="00BA44AF"/>
    <w:rsid w:val="00BA506C"/>
    <w:rsid w:val="00BA69B1"/>
    <w:rsid w:val="00BB1138"/>
    <w:rsid w:val="00BB19A9"/>
    <w:rsid w:val="00BB3B25"/>
    <w:rsid w:val="00BB6043"/>
    <w:rsid w:val="00BB616A"/>
    <w:rsid w:val="00BC2704"/>
    <w:rsid w:val="00BC2DFE"/>
    <w:rsid w:val="00BC48F0"/>
    <w:rsid w:val="00BC4C86"/>
    <w:rsid w:val="00BC5106"/>
    <w:rsid w:val="00BC584F"/>
    <w:rsid w:val="00BC5BEB"/>
    <w:rsid w:val="00BC5D0C"/>
    <w:rsid w:val="00BC711C"/>
    <w:rsid w:val="00BD0AB5"/>
    <w:rsid w:val="00BD145E"/>
    <w:rsid w:val="00BD229E"/>
    <w:rsid w:val="00BD2439"/>
    <w:rsid w:val="00BD2D75"/>
    <w:rsid w:val="00BD541E"/>
    <w:rsid w:val="00BD60A6"/>
    <w:rsid w:val="00BD6329"/>
    <w:rsid w:val="00BD668D"/>
    <w:rsid w:val="00BD77B5"/>
    <w:rsid w:val="00BD7D24"/>
    <w:rsid w:val="00BE5034"/>
    <w:rsid w:val="00BE5808"/>
    <w:rsid w:val="00BE6A79"/>
    <w:rsid w:val="00BE743C"/>
    <w:rsid w:val="00BF0671"/>
    <w:rsid w:val="00BF0FEA"/>
    <w:rsid w:val="00BF1836"/>
    <w:rsid w:val="00BF1A61"/>
    <w:rsid w:val="00BF24D5"/>
    <w:rsid w:val="00BF2F81"/>
    <w:rsid w:val="00BF4CCD"/>
    <w:rsid w:val="00BF7368"/>
    <w:rsid w:val="00C01034"/>
    <w:rsid w:val="00C01820"/>
    <w:rsid w:val="00C01D75"/>
    <w:rsid w:val="00C0241B"/>
    <w:rsid w:val="00C03BAE"/>
    <w:rsid w:val="00C03E36"/>
    <w:rsid w:val="00C04DDF"/>
    <w:rsid w:val="00C05A02"/>
    <w:rsid w:val="00C066F6"/>
    <w:rsid w:val="00C06FEF"/>
    <w:rsid w:val="00C10953"/>
    <w:rsid w:val="00C11F86"/>
    <w:rsid w:val="00C12821"/>
    <w:rsid w:val="00C132DF"/>
    <w:rsid w:val="00C13701"/>
    <w:rsid w:val="00C14B65"/>
    <w:rsid w:val="00C14C16"/>
    <w:rsid w:val="00C15376"/>
    <w:rsid w:val="00C158CE"/>
    <w:rsid w:val="00C16A84"/>
    <w:rsid w:val="00C176F4"/>
    <w:rsid w:val="00C17E49"/>
    <w:rsid w:val="00C20525"/>
    <w:rsid w:val="00C20E8D"/>
    <w:rsid w:val="00C211DF"/>
    <w:rsid w:val="00C2472B"/>
    <w:rsid w:val="00C2505E"/>
    <w:rsid w:val="00C25C32"/>
    <w:rsid w:val="00C25E57"/>
    <w:rsid w:val="00C26A52"/>
    <w:rsid w:val="00C270F4"/>
    <w:rsid w:val="00C27290"/>
    <w:rsid w:val="00C27937"/>
    <w:rsid w:val="00C3007F"/>
    <w:rsid w:val="00C317EF"/>
    <w:rsid w:val="00C31F10"/>
    <w:rsid w:val="00C326C7"/>
    <w:rsid w:val="00C32C98"/>
    <w:rsid w:val="00C33B68"/>
    <w:rsid w:val="00C3438B"/>
    <w:rsid w:val="00C347D9"/>
    <w:rsid w:val="00C34FCE"/>
    <w:rsid w:val="00C35D2F"/>
    <w:rsid w:val="00C362DD"/>
    <w:rsid w:val="00C37078"/>
    <w:rsid w:val="00C41F46"/>
    <w:rsid w:val="00C42868"/>
    <w:rsid w:val="00C46115"/>
    <w:rsid w:val="00C469BE"/>
    <w:rsid w:val="00C46E84"/>
    <w:rsid w:val="00C4752B"/>
    <w:rsid w:val="00C50660"/>
    <w:rsid w:val="00C509D3"/>
    <w:rsid w:val="00C519F6"/>
    <w:rsid w:val="00C53BA4"/>
    <w:rsid w:val="00C545E7"/>
    <w:rsid w:val="00C55622"/>
    <w:rsid w:val="00C561D9"/>
    <w:rsid w:val="00C57837"/>
    <w:rsid w:val="00C57F34"/>
    <w:rsid w:val="00C60015"/>
    <w:rsid w:val="00C6070E"/>
    <w:rsid w:val="00C618A4"/>
    <w:rsid w:val="00C61A23"/>
    <w:rsid w:val="00C622F7"/>
    <w:rsid w:val="00C6284C"/>
    <w:rsid w:val="00C65819"/>
    <w:rsid w:val="00C66216"/>
    <w:rsid w:val="00C66810"/>
    <w:rsid w:val="00C67B51"/>
    <w:rsid w:val="00C67D04"/>
    <w:rsid w:val="00C715B1"/>
    <w:rsid w:val="00C71734"/>
    <w:rsid w:val="00C71BF4"/>
    <w:rsid w:val="00C73A2C"/>
    <w:rsid w:val="00C73A4C"/>
    <w:rsid w:val="00C74183"/>
    <w:rsid w:val="00C75347"/>
    <w:rsid w:val="00C7646B"/>
    <w:rsid w:val="00C766DD"/>
    <w:rsid w:val="00C8277E"/>
    <w:rsid w:val="00C82E2C"/>
    <w:rsid w:val="00C83820"/>
    <w:rsid w:val="00C83B38"/>
    <w:rsid w:val="00C83FEF"/>
    <w:rsid w:val="00C85234"/>
    <w:rsid w:val="00C85A0E"/>
    <w:rsid w:val="00C86926"/>
    <w:rsid w:val="00C87817"/>
    <w:rsid w:val="00C87F37"/>
    <w:rsid w:val="00C90773"/>
    <w:rsid w:val="00C9117E"/>
    <w:rsid w:val="00C915F3"/>
    <w:rsid w:val="00C92C06"/>
    <w:rsid w:val="00C92D5A"/>
    <w:rsid w:val="00C9388D"/>
    <w:rsid w:val="00C97F78"/>
    <w:rsid w:val="00CA0C4E"/>
    <w:rsid w:val="00CA1958"/>
    <w:rsid w:val="00CA2C65"/>
    <w:rsid w:val="00CA2D8E"/>
    <w:rsid w:val="00CA313A"/>
    <w:rsid w:val="00CA335A"/>
    <w:rsid w:val="00CA3CC5"/>
    <w:rsid w:val="00CA4E2E"/>
    <w:rsid w:val="00CA6DB0"/>
    <w:rsid w:val="00CA6E92"/>
    <w:rsid w:val="00CA7213"/>
    <w:rsid w:val="00CB1BA3"/>
    <w:rsid w:val="00CB1BA5"/>
    <w:rsid w:val="00CB263D"/>
    <w:rsid w:val="00CB29A3"/>
    <w:rsid w:val="00CB2F43"/>
    <w:rsid w:val="00CB523A"/>
    <w:rsid w:val="00CB5C85"/>
    <w:rsid w:val="00CB5F32"/>
    <w:rsid w:val="00CB79CD"/>
    <w:rsid w:val="00CB7C6A"/>
    <w:rsid w:val="00CB7FEF"/>
    <w:rsid w:val="00CC26D6"/>
    <w:rsid w:val="00CC2F36"/>
    <w:rsid w:val="00CC3C5D"/>
    <w:rsid w:val="00CC47E9"/>
    <w:rsid w:val="00CC4C20"/>
    <w:rsid w:val="00CC4DE9"/>
    <w:rsid w:val="00CC6967"/>
    <w:rsid w:val="00CC6D91"/>
    <w:rsid w:val="00CC751F"/>
    <w:rsid w:val="00CC783C"/>
    <w:rsid w:val="00CC7ABA"/>
    <w:rsid w:val="00CC7C3D"/>
    <w:rsid w:val="00CC7CA1"/>
    <w:rsid w:val="00CD134C"/>
    <w:rsid w:val="00CD1BCB"/>
    <w:rsid w:val="00CD1DC5"/>
    <w:rsid w:val="00CD280E"/>
    <w:rsid w:val="00CD2AB7"/>
    <w:rsid w:val="00CD2AEA"/>
    <w:rsid w:val="00CD5300"/>
    <w:rsid w:val="00CD6E9A"/>
    <w:rsid w:val="00CE0001"/>
    <w:rsid w:val="00CE01EE"/>
    <w:rsid w:val="00CE27B7"/>
    <w:rsid w:val="00CE2858"/>
    <w:rsid w:val="00CE495F"/>
    <w:rsid w:val="00CE6503"/>
    <w:rsid w:val="00CE69A4"/>
    <w:rsid w:val="00CF11E4"/>
    <w:rsid w:val="00CF18C0"/>
    <w:rsid w:val="00CF37CF"/>
    <w:rsid w:val="00CF3833"/>
    <w:rsid w:val="00CF5A91"/>
    <w:rsid w:val="00CF5C80"/>
    <w:rsid w:val="00CF624C"/>
    <w:rsid w:val="00D00B0D"/>
    <w:rsid w:val="00D01A9A"/>
    <w:rsid w:val="00D041C6"/>
    <w:rsid w:val="00D04380"/>
    <w:rsid w:val="00D044ED"/>
    <w:rsid w:val="00D10424"/>
    <w:rsid w:val="00D12837"/>
    <w:rsid w:val="00D14513"/>
    <w:rsid w:val="00D15130"/>
    <w:rsid w:val="00D15CA6"/>
    <w:rsid w:val="00D161BC"/>
    <w:rsid w:val="00D16371"/>
    <w:rsid w:val="00D1724C"/>
    <w:rsid w:val="00D200ED"/>
    <w:rsid w:val="00D20BCF"/>
    <w:rsid w:val="00D20EF0"/>
    <w:rsid w:val="00D211D7"/>
    <w:rsid w:val="00D21332"/>
    <w:rsid w:val="00D2250B"/>
    <w:rsid w:val="00D260BC"/>
    <w:rsid w:val="00D27D8E"/>
    <w:rsid w:val="00D31E55"/>
    <w:rsid w:val="00D32B9A"/>
    <w:rsid w:val="00D32C24"/>
    <w:rsid w:val="00D347C3"/>
    <w:rsid w:val="00D34D7D"/>
    <w:rsid w:val="00D35282"/>
    <w:rsid w:val="00D3636C"/>
    <w:rsid w:val="00D3671C"/>
    <w:rsid w:val="00D368FA"/>
    <w:rsid w:val="00D37744"/>
    <w:rsid w:val="00D4088D"/>
    <w:rsid w:val="00D40A48"/>
    <w:rsid w:val="00D40BB0"/>
    <w:rsid w:val="00D4155B"/>
    <w:rsid w:val="00D41608"/>
    <w:rsid w:val="00D418D7"/>
    <w:rsid w:val="00D41B7C"/>
    <w:rsid w:val="00D47316"/>
    <w:rsid w:val="00D475F9"/>
    <w:rsid w:val="00D5167B"/>
    <w:rsid w:val="00D51BE0"/>
    <w:rsid w:val="00D51F26"/>
    <w:rsid w:val="00D541B5"/>
    <w:rsid w:val="00D54838"/>
    <w:rsid w:val="00D54BD2"/>
    <w:rsid w:val="00D55692"/>
    <w:rsid w:val="00D5663A"/>
    <w:rsid w:val="00D57887"/>
    <w:rsid w:val="00D62229"/>
    <w:rsid w:val="00D627B8"/>
    <w:rsid w:val="00D66AED"/>
    <w:rsid w:val="00D67409"/>
    <w:rsid w:val="00D67FFA"/>
    <w:rsid w:val="00D70B49"/>
    <w:rsid w:val="00D71BAB"/>
    <w:rsid w:val="00D72692"/>
    <w:rsid w:val="00D72AA2"/>
    <w:rsid w:val="00D730F9"/>
    <w:rsid w:val="00D7462D"/>
    <w:rsid w:val="00D7673A"/>
    <w:rsid w:val="00D76BA6"/>
    <w:rsid w:val="00D81080"/>
    <w:rsid w:val="00D8176B"/>
    <w:rsid w:val="00D81E34"/>
    <w:rsid w:val="00D82D07"/>
    <w:rsid w:val="00D835D9"/>
    <w:rsid w:val="00D84EAC"/>
    <w:rsid w:val="00D85531"/>
    <w:rsid w:val="00D90AFB"/>
    <w:rsid w:val="00D91EDB"/>
    <w:rsid w:val="00D927A9"/>
    <w:rsid w:val="00D92D84"/>
    <w:rsid w:val="00D931AE"/>
    <w:rsid w:val="00D93D8B"/>
    <w:rsid w:val="00D945CC"/>
    <w:rsid w:val="00D96A77"/>
    <w:rsid w:val="00D97A31"/>
    <w:rsid w:val="00DA00DE"/>
    <w:rsid w:val="00DA16AC"/>
    <w:rsid w:val="00DA20BA"/>
    <w:rsid w:val="00DA2481"/>
    <w:rsid w:val="00DA27D8"/>
    <w:rsid w:val="00DA773E"/>
    <w:rsid w:val="00DA7ACF"/>
    <w:rsid w:val="00DB0F48"/>
    <w:rsid w:val="00DB117D"/>
    <w:rsid w:val="00DB1ACD"/>
    <w:rsid w:val="00DB1D06"/>
    <w:rsid w:val="00DB37DA"/>
    <w:rsid w:val="00DB4259"/>
    <w:rsid w:val="00DB5745"/>
    <w:rsid w:val="00DB5FB7"/>
    <w:rsid w:val="00DB6243"/>
    <w:rsid w:val="00DB6D42"/>
    <w:rsid w:val="00DB7950"/>
    <w:rsid w:val="00DC08EF"/>
    <w:rsid w:val="00DC1571"/>
    <w:rsid w:val="00DC2D60"/>
    <w:rsid w:val="00DC3408"/>
    <w:rsid w:val="00DC36C4"/>
    <w:rsid w:val="00DC5C56"/>
    <w:rsid w:val="00DD2644"/>
    <w:rsid w:val="00DD2CF8"/>
    <w:rsid w:val="00DD313A"/>
    <w:rsid w:val="00DD339A"/>
    <w:rsid w:val="00DD4048"/>
    <w:rsid w:val="00DD4973"/>
    <w:rsid w:val="00DD6235"/>
    <w:rsid w:val="00DD6776"/>
    <w:rsid w:val="00DD67E0"/>
    <w:rsid w:val="00DE055A"/>
    <w:rsid w:val="00DE06B1"/>
    <w:rsid w:val="00DE1A5E"/>
    <w:rsid w:val="00DE215C"/>
    <w:rsid w:val="00DE26DD"/>
    <w:rsid w:val="00DE4DF1"/>
    <w:rsid w:val="00DE55B0"/>
    <w:rsid w:val="00DE64DB"/>
    <w:rsid w:val="00DE7206"/>
    <w:rsid w:val="00DE7700"/>
    <w:rsid w:val="00DE7B90"/>
    <w:rsid w:val="00DF142D"/>
    <w:rsid w:val="00DF14BB"/>
    <w:rsid w:val="00DF1A25"/>
    <w:rsid w:val="00DF4639"/>
    <w:rsid w:val="00DF7127"/>
    <w:rsid w:val="00DF7BCB"/>
    <w:rsid w:val="00DF7BE2"/>
    <w:rsid w:val="00DF7EC5"/>
    <w:rsid w:val="00E03139"/>
    <w:rsid w:val="00E03484"/>
    <w:rsid w:val="00E03D40"/>
    <w:rsid w:val="00E043E9"/>
    <w:rsid w:val="00E05EBC"/>
    <w:rsid w:val="00E06641"/>
    <w:rsid w:val="00E06897"/>
    <w:rsid w:val="00E0775F"/>
    <w:rsid w:val="00E12533"/>
    <w:rsid w:val="00E134E4"/>
    <w:rsid w:val="00E13806"/>
    <w:rsid w:val="00E142DF"/>
    <w:rsid w:val="00E14A7E"/>
    <w:rsid w:val="00E14DDE"/>
    <w:rsid w:val="00E1529A"/>
    <w:rsid w:val="00E152E5"/>
    <w:rsid w:val="00E15402"/>
    <w:rsid w:val="00E16559"/>
    <w:rsid w:val="00E16B4B"/>
    <w:rsid w:val="00E17026"/>
    <w:rsid w:val="00E20657"/>
    <w:rsid w:val="00E21139"/>
    <w:rsid w:val="00E21A02"/>
    <w:rsid w:val="00E21B78"/>
    <w:rsid w:val="00E21CEC"/>
    <w:rsid w:val="00E23AA6"/>
    <w:rsid w:val="00E2414D"/>
    <w:rsid w:val="00E242CF"/>
    <w:rsid w:val="00E24812"/>
    <w:rsid w:val="00E24928"/>
    <w:rsid w:val="00E25F5D"/>
    <w:rsid w:val="00E262A8"/>
    <w:rsid w:val="00E265C9"/>
    <w:rsid w:val="00E26BC0"/>
    <w:rsid w:val="00E26F26"/>
    <w:rsid w:val="00E27E35"/>
    <w:rsid w:val="00E27FE0"/>
    <w:rsid w:val="00E311C0"/>
    <w:rsid w:val="00E32077"/>
    <w:rsid w:val="00E32A17"/>
    <w:rsid w:val="00E331F6"/>
    <w:rsid w:val="00E340AF"/>
    <w:rsid w:val="00E34B40"/>
    <w:rsid w:val="00E35706"/>
    <w:rsid w:val="00E3612E"/>
    <w:rsid w:val="00E40EBE"/>
    <w:rsid w:val="00E4268D"/>
    <w:rsid w:val="00E43F74"/>
    <w:rsid w:val="00E446D0"/>
    <w:rsid w:val="00E44BE3"/>
    <w:rsid w:val="00E44D3B"/>
    <w:rsid w:val="00E44E91"/>
    <w:rsid w:val="00E4535F"/>
    <w:rsid w:val="00E458E2"/>
    <w:rsid w:val="00E45A6B"/>
    <w:rsid w:val="00E4687D"/>
    <w:rsid w:val="00E504DD"/>
    <w:rsid w:val="00E51E8D"/>
    <w:rsid w:val="00E529C8"/>
    <w:rsid w:val="00E54B2C"/>
    <w:rsid w:val="00E55273"/>
    <w:rsid w:val="00E55876"/>
    <w:rsid w:val="00E565CF"/>
    <w:rsid w:val="00E60901"/>
    <w:rsid w:val="00E614AF"/>
    <w:rsid w:val="00E61FEF"/>
    <w:rsid w:val="00E63254"/>
    <w:rsid w:val="00E638AA"/>
    <w:rsid w:val="00E63D33"/>
    <w:rsid w:val="00E64929"/>
    <w:rsid w:val="00E64B3E"/>
    <w:rsid w:val="00E65104"/>
    <w:rsid w:val="00E66D8E"/>
    <w:rsid w:val="00E7050D"/>
    <w:rsid w:val="00E712A5"/>
    <w:rsid w:val="00E713AA"/>
    <w:rsid w:val="00E719A2"/>
    <w:rsid w:val="00E7426C"/>
    <w:rsid w:val="00E7657C"/>
    <w:rsid w:val="00E7736F"/>
    <w:rsid w:val="00E7742B"/>
    <w:rsid w:val="00E7772B"/>
    <w:rsid w:val="00E80E66"/>
    <w:rsid w:val="00E83DC3"/>
    <w:rsid w:val="00E8558D"/>
    <w:rsid w:val="00E85FE4"/>
    <w:rsid w:val="00E90702"/>
    <w:rsid w:val="00E91B35"/>
    <w:rsid w:val="00E96907"/>
    <w:rsid w:val="00E96AA8"/>
    <w:rsid w:val="00E96F88"/>
    <w:rsid w:val="00E978DB"/>
    <w:rsid w:val="00EA0386"/>
    <w:rsid w:val="00EA1EF4"/>
    <w:rsid w:val="00EA34DA"/>
    <w:rsid w:val="00EA55EE"/>
    <w:rsid w:val="00EA62ED"/>
    <w:rsid w:val="00EB1655"/>
    <w:rsid w:val="00EB165F"/>
    <w:rsid w:val="00EB172C"/>
    <w:rsid w:val="00EB4A05"/>
    <w:rsid w:val="00EB5EDE"/>
    <w:rsid w:val="00EB60C4"/>
    <w:rsid w:val="00EB6525"/>
    <w:rsid w:val="00EB7327"/>
    <w:rsid w:val="00EC0148"/>
    <w:rsid w:val="00EC17C4"/>
    <w:rsid w:val="00EC1901"/>
    <w:rsid w:val="00EC1DF3"/>
    <w:rsid w:val="00EC37AA"/>
    <w:rsid w:val="00EC686B"/>
    <w:rsid w:val="00EC78D6"/>
    <w:rsid w:val="00EC7A63"/>
    <w:rsid w:val="00ED000D"/>
    <w:rsid w:val="00ED05DD"/>
    <w:rsid w:val="00ED08FF"/>
    <w:rsid w:val="00ED105A"/>
    <w:rsid w:val="00ED2222"/>
    <w:rsid w:val="00ED377B"/>
    <w:rsid w:val="00ED5FE3"/>
    <w:rsid w:val="00ED62B0"/>
    <w:rsid w:val="00ED7BE3"/>
    <w:rsid w:val="00ED7C6B"/>
    <w:rsid w:val="00EE02DC"/>
    <w:rsid w:val="00EE0469"/>
    <w:rsid w:val="00EE0C3C"/>
    <w:rsid w:val="00EE27D9"/>
    <w:rsid w:val="00EE302D"/>
    <w:rsid w:val="00EE3104"/>
    <w:rsid w:val="00EE3DE1"/>
    <w:rsid w:val="00EE46DD"/>
    <w:rsid w:val="00EE4A7F"/>
    <w:rsid w:val="00EE4FF1"/>
    <w:rsid w:val="00EE5F7B"/>
    <w:rsid w:val="00EE7AB1"/>
    <w:rsid w:val="00EF1159"/>
    <w:rsid w:val="00EF5161"/>
    <w:rsid w:val="00EF51F1"/>
    <w:rsid w:val="00EF6B06"/>
    <w:rsid w:val="00EF78A2"/>
    <w:rsid w:val="00EF7CF3"/>
    <w:rsid w:val="00F00709"/>
    <w:rsid w:val="00F00FA4"/>
    <w:rsid w:val="00F02F8A"/>
    <w:rsid w:val="00F0425C"/>
    <w:rsid w:val="00F05634"/>
    <w:rsid w:val="00F0672E"/>
    <w:rsid w:val="00F0688B"/>
    <w:rsid w:val="00F07078"/>
    <w:rsid w:val="00F07FEC"/>
    <w:rsid w:val="00F14CAD"/>
    <w:rsid w:val="00F14EF7"/>
    <w:rsid w:val="00F15315"/>
    <w:rsid w:val="00F22A12"/>
    <w:rsid w:val="00F23781"/>
    <w:rsid w:val="00F23CD9"/>
    <w:rsid w:val="00F24F8F"/>
    <w:rsid w:val="00F259D0"/>
    <w:rsid w:val="00F267EE"/>
    <w:rsid w:val="00F272D3"/>
    <w:rsid w:val="00F31709"/>
    <w:rsid w:val="00F33F50"/>
    <w:rsid w:val="00F348CF"/>
    <w:rsid w:val="00F35A6D"/>
    <w:rsid w:val="00F36C98"/>
    <w:rsid w:val="00F379BF"/>
    <w:rsid w:val="00F37A4E"/>
    <w:rsid w:val="00F4060E"/>
    <w:rsid w:val="00F40DF1"/>
    <w:rsid w:val="00F41F45"/>
    <w:rsid w:val="00F42AD7"/>
    <w:rsid w:val="00F43231"/>
    <w:rsid w:val="00F45411"/>
    <w:rsid w:val="00F463B8"/>
    <w:rsid w:val="00F46D8C"/>
    <w:rsid w:val="00F51636"/>
    <w:rsid w:val="00F51710"/>
    <w:rsid w:val="00F54B20"/>
    <w:rsid w:val="00F5541B"/>
    <w:rsid w:val="00F555DF"/>
    <w:rsid w:val="00F6086C"/>
    <w:rsid w:val="00F6230C"/>
    <w:rsid w:val="00F62752"/>
    <w:rsid w:val="00F62972"/>
    <w:rsid w:val="00F639A8"/>
    <w:rsid w:val="00F64786"/>
    <w:rsid w:val="00F65037"/>
    <w:rsid w:val="00F66D9F"/>
    <w:rsid w:val="00F67E4C"/>
    <w:rsid w:val="00F67FCE"/>
    <w:rsid w:val="00F729EB"/>
    <w:rsid w:val="00F742F5"/>
    <w:rsid w:val="00F746EE"/>
    <w:rsid w:val="00F75345"/>
    <w:rsid w:val="00F76AEC"/>
    <w:rsid w:val="00F771E2"/>
    <w:rsid w:val="00F77B75"/>
    <w:rsid w:val="00F80E42"/>
    <w:rsid w:val="00F81459"/>
    <w:rsid w:val="00F85A03"/>
    <w:rsid w:val="00F869C2"/>
    <w:rsid w:val="00F917B6"/>
    <w:rsid w:val="00F96ED2"/>
    <w:rsid w:val="00FA0366"/>
    <w:rsid w:val="00FA41CB"/>
    <w:rsid w:val="00FA5377"/>
    <w:rsid w:val="00FA62DE"/>
    <w:rsid w:val="00FA763B"/>
    <w:rsid w:val="00FA7BE6"/>
    <w:rsid w:val="00FB17FF"/>
    <w:rsid w:val="00FB2105"/>
    <w:rsid w:val="00FB27E2"/>
    <w:rsid w:val="00FB4238"/>
    <w:rsid w:val="00FB4A0D"/>
    <w:rsid w:val="00FB582B"/>
    <w:rsid w:val="00FB5F8B"/>
    <w:rsid w:val="00FB6A12"/>
    <w:rsid w:val="00FC03CB"/>
    <w:rsid w:val="00FC2672"/>
    <w:rsid w:val="00FC2DB5"/>
    <w:rsid w:val="00FC2E6F"/>
    <w:rsid w:val="00FC4D6A"/>
    <w:rsid w:val="00FC60E9"/>
    <w:rsid w:val="00FC7E65"/>
    <w:rsid w:val="00FD1371"/>
    <w:rsid w:val="00FD2181"/>
    <w:rsid w:val="00FD31DD"/>
    <w:rsid w:val="00FD558A"/>
    <w:rsid w:val="00FD5619"/>
    <w:rsid w:val="00FD5AEB"/>
    <w:rsid w:val="00FD6430"/>
    <w:rsid w:val="00FE215F"/>
    <w:rsid w:val="00FE2448"/>
    <w:rsid w:val="00FE2A8D"/>
    <w:rsid w:val="00FE4D60"/>
    <w:rsid w:val="00FE591F"/>
    <w:rsid w:val="00FE5F0A"/>
    <w:rsid w:val="00FE7074"/>
    <w:rsid w:val="00FE724E"/>
    <w:rsid w:val="00FE74B4"/>
    <w:rsid w:val="00FE7D42"/>
    <w:rsid w:val="00FE7E9C"/>
    <w:rsid w:val="00FF08A1"/>
    <w:rsid w:val="00FF2554"/>
    <w:rsid w:val="00FF28A9"/>
    <w:rsid w:val="00FF2AFA"/>
    <w:rsid w:val="00FF383F"/>
    <w:rsid w:val="00FF50FC"/>
    <w:rsid w:val="00FF658B"/>
    <w:rsid w:val="00FF6C24"/>
    <w:rsid w:val="00FF6C4A"/>
    <w:rsid w:val="00FF6F11"/>
    <w:rsid w:val="00FF7B4E"/>
    <w:rsid w:val="01080A12"/>
    <w:rsid w:val="010A478A"/>
    <w:rsid w:val="011B6997"/>
    <w:rsid w:val="012F538D"/>
    <w:rsid w:val="0136732D"/>
    <w:rsid w:val="014927CC"/>
    <w:rsid w:val="01787946"/>
    <w:rsid w:val="01964270"/>
    <w:rsid w:val="01AC75F0"/>
    <w:rsid w:val="020A2568"/>
    <w:rsid w:val="02225B6B"/>
    <w:rsid w:val="022C6982"/>
    <w:rsid w:val="022E78F9"/>
    <w:rsid w:val="02312254"/>
    <w:rsid w:val="024C2B81"/>
    <w:rsid w:val="025276C9"/>
    <w:rsid w:val="026645B1"/>
    <w:rsid w:val="02754D99"/>
    <w:rsid w:val="029167E5"/>
    <w:rsid w:val="02963DFC"/>
    <w:rsid w:val="02967C37"/>
    <w:rsid w:val="02C10E79"/>
    <w:rsid w:val="02C46BBB"/>
    <w:rsid w:val="02CE51EE"/>
    <w:rsid w:val="02D23086"/>
    <w:rsid w:val="02D36DFE"/>
    <w:rsid w:val="02DD1A2B"/>
    <w:rsid w:val="02E66B31"/>
    <w:rsid w:val="02FE031F"/>
    <w:rsid w:val="0301396B"/>
    <w:rsid w:val="0305345B"/>
    <w:rsid w:val="032633D2"/>
    <w:rsid w:val="032A4C70"/>
    <w:rsid w:val="03463A74"/>
    <w:rsid w:val="03681C3C"/>
    <w:rsid w:val="036A1510"/>
    <w:rsid w:val="036F2FCB"/>
    <w:rsid w:val="037203C5"/>
    <w:rsid w:val="03800D34"/>
    <w:rsid w:val="03804BF7"/>
    <w:rsid w:val="03A367D0"/>
    <w:rsid w:val="03A415D4"/>
    <w:rsid w:val="03C66B2E"/>
    <w:rsid w:val="03CE4177"/>
    <w:rsid w:val="03F31506"/>
    <w:rsid w:val="043A35D9"/>
    <w:rsid w:val="0463574E"/>
    <w:rsid w:val="04664CB8"/>
    <w:rsid w:val="048C4445"/>
    <w:rsid w:val="048C54B6"/>
    <w:rsid w:val="04932CE9"/>
    <w:rsid w:val="0495080F"/>
    <w:rsid w:val="04956A61"/>
    <w:rsid w:val="04B862AB"/>
    <w:rsid w:val="04EA0A82"/>
    <w:rsid w:val="04F97F74"/>
    <w:rsid w:val="04FF212C"/>
    <w:rsid w:val="052027CE"/>
    <w:rsid w:val="05544226"/>
    <w:rsid w:val="056D52E8"/>
    <w:rsid w:val="056F1060"/>
    <w:rsid w:val="05827FED"/>
    <w:rsid w:val="05B21F55"/>
    <w:rsid w:val="05C63A37"/>
    <w:rsid w:val="05D37841"/>
    <w:rsid w:val="05D832E5"/>
    <w:rsid w:val="05DE61E6"/>
    <w:rsid w:val="05EA2DDC"/>
    <w:rsid w:val="061C25EF"/>
    <w:rsid w:val="0627463A"/>
    <w:rsid w:val="06562A66"/>
    <w:rsid w:val="065F10D4"/>
    <w:rsid w:val="06A333B5"/>
    <w:rsid w:val="06A4165E"/>
    <w:rsid w:val="06A66D03"/>
    <w:rsid w:val="06BD5DFB"/>
    <w:rsid w:val="06C76C7A"/>
    <w:rsid w:val="06E415DA"/>
    <w:rsid w:val="06F07F7E"/>
    <w:rsid w:val="06F51486"/>
    <w:rsid w:val="07013F3A"/>
    <w:rsid w:val="070E48A8"/>
    <w:rsid w:val="07100621"/>
    <w:rsid w:val="071A4FFB"/>
    <w:rsid w:val="072A6FB6"/>
    <w:rsid w:val="07402ACD"/>
    <w:rsid w:val="0744651C"/>
    <w:rsid w:val="07697D31"/>
    <w:rsid w:val="077F1302"/>
    <w:rsid w:val="078057A6"/>
    <w:rsid w:val="079B1421"/>
    <w:rsid w:val="07B45450"/>
    <w:rsid w:val="07C03DF5"/>
    <w:rsid w:val="07C35693"/>
    <w:rsid w:val="07F7358F"/>
    <w:rsid w:val="07F7533D"/>
    <w:rsid w:val="083A615B"/>
    <w:rsid w:val="087B5F6E"/>
    <w:rsid w:val="08844E22"/>
    <w:rsid w:val="088A526F"/>
    <w:rsid w:val="08BB45BC"/>
    <w:rsid w:val="08CC613D"/>
    <w:rsid w:val="08D8516E"/>
    <w:rsid w:val="08E27D9B"/>
    <w:rsid w:val="08F4271F"/>
    <w:rsid w:val="09167A44"/>
    <w:rsid w:val="091A5255"/>
    <w:rsid w:val="0932487E"/>
    <w:rsid w:val="093F343F"/>
    <w:rsid w:val="096802A0"/>
    <w:rsid w:val="09753CF1"/>
    <w:rsid w:val="098865F7"/>
    <w:rsid w:val="09973317"/>
    <w:rsid w:val="09BF1E8A"/>
    <w:rsid w:val="09C51AEE"/>
    <w:rsid w:val="09C63218"/>
    <w:rsid w:val="09DA6CC4"/>
    <w:rsid w:val="09E4089C"/>
    <w:rsid w:val="09E81040"/>
    <w:rsid w:val="0A1977EC"/>
    <w:rsid w:val="0A1B5312"/>
    <w:rsid w:val="0A301518"/>
    <w:rsid w:val="0A4928C9"/>
    <w:rsid w:val="0A6A604E"/>
    <w:rsid w:val="0A7D5FCD"/>
    <w:rsid w:val="0A8C6210"/>
    <w:rsid w:val="0ACD5BFF"/>
    <w:rsid w:val="0ADA341F"/>
    <w:rsid w:val="0AE222D4"/>
    <w:rsid w:val="0AE22CEE"/>
    <w:rsid w:val="0B0D606F"/>
    <w:rsid w:val="0B19530B"/>
    <w:rsid w:val="0B31710A"/>
    <w:rsid w:val="0B420FC5"/>
    <w:rsid w:val="0B61144B"/>
    <w:rsid w:val="0B8213C1"/>
    <w:rsid w:val="0B8778B3"/>
    <w:rsid w:val="0B8D66E4"/>
    <w:rsid w:val="0B9F3D21"/>
    <w:rsid w:val="0BB84DE3"/>
    <w:rsid w:val="0BCB720C"/>
    <w:rsid w:val="0BD61BB1"/>
    <w:rsid w:val="0BF73B5D"/>
    <w:rsid w:val="0C126BE9"/>
    <w:rsid w:val="0C177D5B"/>
    <w:rsid w:val="0C1E723B"/>
    <w:rsid w:val="0C213FA2"/>
    <w:rsid w:val="0C222799"/>
    <w:rsid w:val="0C3B7EEE"/>
    <w:rsid w:val="0C5C65DC"/>
    <w:rsid w:val="0C5E1E2E"/>
    <w:rsid w:val="0C711B61"/>
    <w:rsid w:val="0C9475FE"/>
    <w:rsid w:val="0CA24B2F"/>
    <w:rsid w:val="0CA72E8F"/>
    <w:rsid w:val="0CAF3712"/>
    <w:rsid w:val="0CC779D3"/>
    <w:rsid w:val="0D197B03"/>
    <w:rsid w:val="0D285B6C"/>
    <w:rsid w:val="0D4A69C1"/>
    <w:rsid w:val="0D8C3984"/>
    <w:rsid w:val="0D8C5F62"/>
    <w:rsid w:val="0DAB73FF"/>
    <w:rsid w:val="0DB31D06"/>
    <w:rsid w:val="0DB37F58"/>
    <w:rsid w:val="0DD32028"/>
    <w:rsid w:val="0DF5231E"/>
    <w:rsid w:val="0E0B1B42"/>
    <w:rsid w:val="0E100F06"/>
    <w:rsid w:val="0E1E1875"/>
    <w:rsid w:val="0E342E47"/>
    <w:rsid w:val="0E356BBF"/>
    <w:rsid w:val="0E37515B"/>
    <w:rsid w:val="0E4017EB"/>
    <w:rsid w:val="0E43308A"/>
    <w:rsid w:val="0E572FD9"/>
    <w:rsid w:val="0E6A4ABA"/>
    <w:rsid w:val="0E7B6CC7"/>
    <w:rsid w:val="0E7D6595"/>
    <w:rsid w:val="0E8A6F0A"/>
    <w:rsid w:val="0E9438E5"/>
    <w:rsid w:val="0E9D6C3E"/>
    <w:rsid w:val="0EA578A0"/>
    <w:rsid w:val="0EA62E9E"/>
    <w:rsid w:val="0EB65F51"/>
    <w:rsid w:val="0EC71F0D"/>
    <w:rsid w:val="0ECA72E0"/>
    <w:rsid w:val="0EDC703A"/>
    <w:rsid w:val="0F1669F0"/>
    <w:rsid w:val="0F2B399C"/>
    <w:rsid w:val="0F2C7FC2"/>
    <w:rsid w:val="0F334EAC"/>
    <w:rsid w:val="0F3B6457"/>
    <w:rsid w:val="0F40066A"/>
    <w:rsid w:val="0F4E618A"/>
    <w:rsid w:val="0F5A68DD"/>
    <w:rsid w:val="0F6D59CE"/>
    <w:rsid w:val="0F7A0B55"/>
    <w:rsid w:val="0F890F70"/>
    <w:rsid w:val="0FBF2BE4"/>
    <w:rsid w:val="100131FC"/>
    <w:rsid w:val="100B7BD7"/>
    <w:rsid w:val="101866FD"/>
    <w:rsid w:val="10385BC8"/>
    <w:rsid w:val="1068327B"/>
    <w:rsid w:val="10770F20"/>
    <w:rsid w:val="108B1669"/>
    <w:rsid w:val="10BB33AB"/>
    <w:rsid w:val="10DC1503"/>
    <w:rsid w:val="10DE353E"/>
    <w:rsid w:val="10FD79C5"/>
    <w:rsid w:val="10FE773C"/>
    <w:rsid w:val="110411F6"/>
    <w:rsid w:val="11146F5F"/>
    <w:rsid w:val="111725AC"/>
    <w:rsid w:val="112F3D99"/>
    <w:rsid w:val="11302747"/>
    <w:rsid w:val="114E06C3"/>
    <w:rsid w:val="116F23E8"/>
    <w:rsid w:val="117D4B05"/>
    <w:rsid w:val="11957286"/>
    <w:rsid w:val="119A7465"/>
    <w:rsid w:val="11A6405B"/>
    <w:rsid w:val="11A73C64"/>
    <w:rsid w:val="11B5604C"/>
    <w:rsid w:val="11D3442B"/>
    <w:rsid w:val="1201442E"/>
    <w:rsid w:val="12301B77"/>
    <w:rsid w:val="1230601B"/>
    <w:rsid w:val="12307DC9"/>
    <w:rsid w:val="1232769D"/>
    <w:rsid w:val="123553DF"/>
    <w:rsid w:val="124104CA"/>
    <w:rsid w:val="125C6E10"/>
    <w:rsid w:val="125E4936"/>
    <w:rsid w:val="12620EA7"/>
    <w:rsid w:val="1264576F"/>
    <w:rsid w:val="1281662E"/>
    <w:rsid w:val="12A165D1"/>
    <w:rsid w:val="12AF6F40"/>
    <w:rsid w:val="12B97DBE"/>
    <w:rsid w:val="12EA7F78"/>
    <w:rsid w:val="12F901BB"/>
    <w:rsid w:val="1300779B"/>
    <w:rsid w:val="130C25E4"/>
    <w:rsid w:val="13256D76"/>
    <w:rsid w:val="13324E63"/>
    <w:rsid w:val="133631BD"/>
    <w:rsid w:val="13532E43"/>
    <w:rsid w:val="136046DE"/>
    <w:rsid w:val="1360648C"/>
    <w:rsid w:val="13743CE5"/>
    <w:rsid w:val="138C102F"/>
    <w:rsid w:val="138F0B1F"/>
    <w:rsid w:val="1394044E"/>
    <w:rsid w:val="13A32C7E"/>
    <w:rsid w:val="13B63B73"/>
    <w:rsid w:val="13D44784"/>
    <w:rsid w:val="13E351BA"/>
    <w:rsid w:val="13EE1CEA"/>
    <w:rsid w:val="13F76DF0"/>
    <w:rsid w:val="13FE7EA2"/>
    <w:rsid w:val="140F4F96"/>
    <w:rsid w:val="141E5845"/>
    <w:rsid w:val="143D057B"/>
    <w:rsid w:val="14553B17"/>
    <w:rsid w:val="146B6E96"/>
    <w:rsid w:val="14791801"/>
    <w:rsid w:val="148937C0"/>
    <w:rsid w:val="149E54BE"/>
    <w:rsid w:val="14A559B4"/>
    <w:rsid w:val="14D07641"/>
    <w:rsid w:val="14EC6023"/>
    <w:rsid w:val="150C68CB"/>
    <w:rsid w:val="155C38F5"/>
    <w:rsid w:val="15733693"/>
    <w:rsid w:val="1574621E"/>
    <w:rsid w:val="157F6414"/>
    <w:rsid w:val="1582093B"/>
    <w:rsid w:val="15836462"/>
    <w:rsid w:val="159F1212"/>
    <w:rsid w:val="15A24B3A"/>
    <w:rsid w:val="15E213DA"/>
    <w:rsid w:val="15F2D281"/>
    <w:rsid w:val="15F64E85"/>
    <w:rsid w:val="161F43DC"/>
    <w:rsid w:val="163B0AEA"/>
    <w:rsid w:val="16571270"/>
    <w:rsid w:val="16597513"/>
    <w:rsid w:val="1663363A"/>
    <w:rsid w:val="1666200B"/>
    <w:rsid w:val="16781D3E"/>
    <w:rsid w:val="169C77DB"/>
    <w:rsid w:val="16C23CCF"/>
    <w:rsid w:val="16E41182"/>
    <w:rsid w:val="17091170"/>
    <w:rsid w:val="173105C7"/>
    <w:rsid w:val="1734629D"/>
    <w:rsid w:val="17552C70"/>
    <w:rsid w:val="17562080"/>
    <w:rsid w:val="17577BA6"/>
    <w:rsid w:val="17604CAC"/>
    <w:rsid w:val="176F4EEF"/>
    <w:rsid w:val="17706CAD"/>
    <w:rsid w:val="17712A16"/>
    <w:rsid w:val="17795D6E"/>
    <w:rsid w:val="17854713"/>
    <w:rsid w:val="17885FB1"/>
    <w:rsid w:val="178F10EE"/>
    <w:rsid w:val="178F7340"/>
    <w:rsid w:val="179B3F36"/>
    <w:rsid w:val="17A34B99"/>
    <w:rsid w:val="17A821AF"/>
    <w:rsid w:val="17B84AE8"/>
    <w:rsid w:val="17FDAFCA"/>
    <w:rsid w:val="17FF57C8"/>
    <w:rsid w:val="18156332"/>
    <w:rsid w:val="18216B7B"/>
    <w:rsid w:val="182201B4"/>
    <w:rsid w:val="182815C6"/>
    <w:rsid w:val="183103F7"/>
    <w:rsid w:val="183C2DCD"/>
    <w:rsid w:val="18644328"/>
    <w:rsid w:val="18874C38"/>
    <w:rsid w:val="18956BD8"/>
    <w:rsid w:val="18B33492"/>
    <w:rsid w:val="18B74DA0"/>
    <w:rsid w:val="18B828C6"/>
    <w:rsid w:val="18C33745"/>
    <w:rsid w:val="18DE232D"/>
    <w:rsid w:val="18E90CD1"/>
    <w:rsid w:val="18EB0787"/>
    <w:rsid w:val="18F57676"/>
    <w:rsid w:val="191308C4"/>
    <w:rsid w:val="19186F67"/>
    <w:rsid w:val="192C37B3"/>
    <w:rsid w:val="193C34F7"/>
    <w:rsid w:val="19573E8D"/>
    <w:rsid w:val="19835038"/>
    <w:rsid w:val="199C354E"/>
    <w:rsid w:val="19A07853"/>
    <w:rsid w:val="19A74E14"/>
    <w:rsid w:val="19B7492C"/>
    <w:rsid w:val="19D83220"/>
    <w:rsid w:val="1A274538"/>
    <w:rsid w:val="1A2C531A"/>
    <w:rsid w:val="1A3629D6"/>
    <w:rsid w:val="1A5D3725"/>
    <w:rsid w:val="1A654388"/>
    <w:rsid w:val="1A750A6F"/>
    <w:rsid w:val="1A884D23"/>
    <w:rsid w:val="1AD31C39"/>
    <w:rsid w:val="1AE036D2"/>
    <w:rsid w:val="1AE600BD"/>
    <w:rsid w:val="1B0342CC"/>
    <w:rsid w:val="1B2B476E"/>
    <w:rsid w:val="1B375D24"/>
    <w:rsid w:val="1B4A7457"/>
    <w:rsid w:val="1B4B7A22"/>
    <w:rsid w:val="1B834DCF"/>
    <w:rsid w:val="1B925650"/>
    <w:rsid w:val="1B967EEB"/>
    <w:rsid w:val="1B9969DF"/>
    <w:rsid w:val="1BCD0437"/>
    <w:rsid w:val="1BF46411"/>
    <w:rsid w:val="1BF95ACC"/>
    <w:rsid w:val="1BF97EEC"/>
    <w:rsid w:val="1C382B02"/>
    <w:rsid w:val="1C3A1F70"/>
    <w:rsid w:val="1C3D736A"/>
    <w:rsid w:val="1C454471"/>
    <w:rsid w:val="1C4F3541"/>
    <w:rsid w:val="1C5446B4"/>
    <w:rsid w:val="1C662D65"/>
    <w:rsid w:val="1C6E5776"/>
    <w:rsid w:val="1C730FDE"/>
    <w:rsid w:val="1C8B617A"/>
    <w:rsid w:val="1C901991"/>
    <w:rsid w:val="1C910F92"/>
    <w:rsid w:val="1CA95F9E"/>
    <w:rsid w:val="1CBD04AB"/>
    <w:rsid w:val="1D091942"/>
    <w:rsid w:val="1D0B1216"/>
    <w:rsid w:val="1D0F2E25"/>
    <w:rsid w:val="1D1A23AC"/>
    <w:rsid w:val="1D3A267F"/>
    <w:rsid w:val="1D3D7997"/>
    <w:rsid w:val="1D452FE4"/>
    <w:rsid w:val="1D5232E9"/>
    <w:rsid w:val="1D6C0B9F"/>
    <w:rsid w:val="1D7414B2"/>
    <w:rsid w:val="1DA067A3"/>
    <w:rsid w:val="1DAF4298"/>
    <w:rsid w:val="1DB472A9"/>
    <w:rsid w:val="1DBC4C07"/>
    <w:rsid w:val="1DD9228F"/>
    <w:rsid w:val="1DDC2BB3"/>
    <w:rsid w:val="1E1C7453"/>
    <w:rsid w:val="1E220F0E"/>
    <w:rsid w:val="1E462F73"/>
    <w:rsid w:val="1E5A3565"/>
    <w:rsid w:val="1E65704C"/>
    <w:rsid w:val="1E6727CD"/>
    <w:rsid w:val="1E6A4663"/>
    <w:rsid w:val="1E731769"/>
    <w:rsid w:val="1E911BEF"/>
    <w:rsid w:val="1E9516DF"/>
    <w:rsid w:val="1EAF5259"/>
    <w:rsid w:val="1EB31B66"/>
    <w:rsid w:val="1EC07787"/>
    <w:rsid w:val="1ECB3353"/>
    <w:rsid w:val="1EDD4E34"/>
    <w:rsid w:val="1EE74867"/>
    <w:rsid w:val="1EEE0DF0"/>
    <w:rsid w:val="1EF77C75"/>
    <w:rsid w:val="1EF87EC0"/>
    <w:rsid w:val="1EF9691C"/>
    <w:rsid w:val="1EFB33B7"/>
    <w:rsid w:val="1F447739"/>
    <w:rsid w:val="1F51312D"/>
    <w:rsid w:val="1F7A08D5"/>
    <w:rsid w:val="1F7A63CB"/>
    <w:rsid w:val="1F8359DC"/>
    <w:rsid w:val="1F9F033C"/>
    <w:rsid w:val="1FA34CB2"/>
    <w:rsid w:val="1FBE0616"/>
    <w:rsid w:val="1FD06747"/>
    <w:rsid w:val="1FE12702"/>
    <w:rsid w:val="1FE221B5"/>
    <w:rsid w:val="1FFF564E"/>
    <w:rsid w:val="2000429C"/>
    <w:rsid w:val="20280331"/>
    <w:rsid w:val="20370574"/>
    <w:rsid w:val="203D143D"/>
    <w:rsid w:val="20472562"/>
    <w:rsid w:val="2054603C"/>
    <w:rsid w:val="20765541"/>
    <w:rsid w:val="20847C5E"/>
    <w:rsid w:val="20947775"/>
    <w:rsid w:val="20B816B5"/>
    <w:rsid w:val="20BD4F1E"/>
    <w:rsid w:val="20C22286"/>
    <w:rsid w:val="20D56C8B"/>
    <w:rsid w:val="20DD1141"/>
    <w:rsid w:val="20E26732"/>
    <w:rsid w:val="20FF5536"/>
    <w:rsid w:val="211D307C"/>
    <w:rsid w:val="2120725A"/>
    <w:rsid w:val="2140729C"/>
    <w:rsid w:val="21815F4B"/>
    <w:rsid w:val="2197576F"/>
    <w:rsid w:val="219914E7"/>
    <w:rsid w:val="21BA145D"/>
    <w:rsid w:val="21C36564"/>
    <w:rsid w:val="21C83B7A"/>
    <w:rsid w:val="21CB18BC"/>
    <w:rsid w:val="21D70261"/>
    <w:rsid w:val="22011A32"/>
    <w:rsid w:val="220B3A67"/>
    <w:rsid w:val="22250FCC"/>
    <w:rsid w:val="22673393"/>
    <w:rsid w:val="22860EA8"/>
    <w:rsid w:val="22B12067"/>
    <w:rsid w:val="22EC3898"/>
    <w:rsid w:val="22FD7853"/>
    <w:rsid w:val="231B0B34"/>
    <w:rsid w:val="23264FFC"/>
    <w:rsid w:val="23333275"/>
    <w:rsid w:val="2334125B"/>
    <w:rsid w:val="23403BE4"/>
    <w:rsid w:val="234611FA"/>
    <w:rsid w:val="235A2A4C"/>
    <w:rsid w:val="237613B4"/>
    <w:rsid w:val="239006C7"/>
    <w:rsid w:val="239B0E1A"/>
    <w:rsid w:val="239D5965"/>
    <w:rsid w:val="23C11764"/>
    <w:rsid w:val="23CF4755"/>
    <w:rsid w:val="23D57FC4"/>
    <w:rsid w:val="23FFF354"/>
    <w:rsid w:val="2406098A"/>
    <w:rsid w:val="2412732E"/>
    <w:rsid w:val="241412F8"/>
    <w:rsid w:val="241F1A4B"/>
    <w:rsid w:val="242F7EE0"/>
    <w:rsid w:val="244B2840"/>
    <w:rsid w:val="245B6F27"/>
    <w:rsid w:val="2466767A"/>
    <w:rsid w:val="247D0369"/>
    <w:rsid w:val="24843748"/>
    <w:rsid w:val="24A614DE"/>
    <w:rsid w:val="250A44A9"/>
    <w:rsid w:val="251A4A47"/>
    <w:rsid w:val="251B1D88"/>
    <w:rsid w:val="25203CCD"/>
    <w:rsid w:val="25704869"/>
    <w:rsid w:val="258204E4"/>
    <w:rsid w:val="25CB1307"/>
    <w:rsid w:val="25F72C80"/>
    <w:rsid w:val="25FA62CC"/>
    <w:rsid w:val="262C7F0F"/>
    <w:rsid w:val="264F6618"/>
    <w:rsid w:val="26576F41"/>
    <w:rsid w:val="265A320F"/>
    <w:rsid w:val="26630315"/>
    <w:rsid w:val="26633E71"/>
    <w:rsid w:val="269B185D"/>
    <w:rsid w:val="26B02E2F"/>
    <w:rsid w:val="26C27D48"/>
    <w:rsid w:val="26C655B4"/>
    <w:rsid w:val="26EA30D2"/>
    <w:rsid w:val="26ED3985"/>
    <w:rsid w:val="270513CC"/>
    <w:rsid w:val="270D48EF"/>
    <w:rsid w:val="270D63BD"/>
    <w:rsid w:val="2725381D"/>
    <w:rsid w:val="27746486"/>
    <w:rsid w:val="27787DF0"/>
    <w:rsid w:val="278A18D2"/>
    <w:rsid w:val="27BF3329"/>
    <w:rsid w:val="27D5298F"/>
    <w:rsid w:val="27D651C1"/>
    <w:rsid w:val="27DD5EA5"/>
    <w:rsid w:val="27E15995"/>
    <w:rsid w:val="27ED17FD"/>
    <w:rsid w:val="28031D25"/>
    <w:rsid w:val="281713B7"/>
    <w:rsid w:val="28485A15"/>
    <w:rsid w:val="285A12A4"/>
    <w:rsid w:val="285A5748"/>
    <w:rsid w:val="286A598B"/>
    <w:rsid w:val="288527C5"/>
    <w:rsid w:val="2886653D"/>
    <w:rsid w:val="28BE5CD7"/>
    <w:rsid w:val="28C606E7"/>
    <w:rsid w:val="28CA642A"/>
    <w:rsid w:val="28CD5F1A"/>
    <w:rsid w:val="28CE7E0A"/>
    <w:rsid w:val="28E868B0"/>
    <w:rsid w:val="28EA6288"/>
    <w:rsid w:val="28EE1BE5"/>
    <w:rsid w:val="28F214DC"/>
    <w:rsid w:val="28F24C3A"/>
    <w:rsid w:val="29016DB0"/>
    <w:rsid w:val="29051210"/>
    <w:rsid w:val="29387837"/>
    <w:rsid w:val="295757E3"/>
    <w:rsid w:val="29763EBB"/>
    <w:rsid w:val="29A14A76"/>
    <w:rsid w:val="29A924E3"/>
    <w:rsid w:val="29B64C00"/>
    <w:rsid w:val="29BF5BF2"/>
    <w:rsid w:val="29ED7653"/>
    <w:rsid w:val="29FB0865"/>
    <w:rsid w:val="2A021BF3"/>
    <w:rsid w:val="2A05246C"/>
    <w:rsid w:val="2A063491"/>
    <w:rsid w:val="2A1520CB"/>
    <w:rsid w:val="2A1D07DB"/>
    <w:rsid w:val="2A306760"/>
    <w:rsid w:val="2A5561C7"/>
    <w:rsid w:val="2A5649FC"/>
    <w:rsid w:val="2A5F0DF4"/>
    <w:rsid w:val="2A7F24EC"/>
    <w:rsid w:val="2A9071FF"/>
    <w:rsid w:val="2AA607D0"/>
    <w:rsid w:val="2AB47391"/>
    <w:rsid w:val="2AB7478C"/>
    <w:rsid w:val="2ADA66CC"/>
    <w:rsid w:val="2AE13ED8"/>
    <w:rsid w:val="2AF23A16"/>
    <w:rsid w:val="2AF459E0"/>
    <w:rsid w:val="2AF94DA4"/>
    <w:rsid w:val="2B0D400D"/>
    <w:rsid w:val="2B1240B8"/>
    <w:rsid w:val="2B162833"/>
    <w:rsid w:val="2B1971F4"/>
    <w:rsid w:val="2B2A3A2C"/>
    <w:rsid w:val="2B3261DC"/>
    <w:rsid w:val="2B512E32"/>
    <w:rsid w:val="2B5E10AB"/>
    <w:rsid w:val="2B5E554F"/>
    <w:rsid w:val="2B676628"/>
    <w:rsid w:val="2B8C3E6A"/>
    <w:rsid w:val="2B906EC7"/>
    <w:rsid w:val="2B966A97"/>
    <w:rsid w:val="2B9F25ED"/>
    <w:rsid w:val="2BA621FE"/>
    <w:rsid w:val="2BB1441A"/>
    <w:rsid w:val="2BB46F1D"/>
    <w:rsid w:val="2BCC4267"/>
    <w:rsid w:val="2BE266B2"/>
    <w:rsid w:val="2BE55328"/>
    <w:rsid w:val="2BE815D8"/>
    <w:rsid w:val="2C06461B"/>
    <w:rsid w:val="2C1A3224"/>
    <w:rsid w:val="2C3F6B66"/>
    <w:rsid w:val="2C477D91"/>
    <w:rsid w:val="2C732934"/>
    <w:rsid w:val="2C7815BE"/>
    <w:rsid w:val="2C7A1A21"/>
    <w:rsid w:val="2C8D6772"/>
    <w:rsid w:val="2CA100AB"/>
    <w:rsid w:val="2CA14FC8"/>
    <w:rsid w:val="2CBE44F7"/>
    <w:rsid w:val="2CC6515A"/>
    <w:rsid w:val="2CE61358"/>
    <w:rsid w:val="2CE64D05"/>
    <w:rsid w:val="2CE91841"/>
    <w:rsid w:val="2D3276F3"/>
    <w:rsid w:val="2D4C4141"/>
    <w:rsid w:val="2D834DF9"/>
    <w:rsid w:val="2D917516"/>
    <w:rsid w:val="2D947006"/>
    <w:rsid w:val="2D95247A"/>
    <w:rsid w:val="2DAC4350"/>
    <w:rsid w:val="2DB717CF"/>
    <w:rsid w:val="2DC06A70"/>
    <w:rsid w:val="2DF126AA"/>
    <w:rsid w:val="2DF14458"/>
    <w:rsid w:val="2E2867A7"/>
    <w:rsid w:val="2E3E4677"/>
    <w:rsid w:val="2E4A5917"/>
    <w:rsid w:val="2E5035B6"/>
    <w:rsid w:val="2E66521A"/>
    <w:rsid w:val="2E685C51"/>
    <w:rsid w:val="2E6D4270"/>
    <w:rsid w:val="2E6E49D1"/>
    <w:rsid w:val="2E701821"/>
    <w:rsid w:val="2E7B23C5"/>
    <w:rsid w:val="2E7D419E"/>
    <w:rsid w:val="2EAB2859"/>
    <w:rsid w:val="2EAE5EA6"/>
    <w:rsid w:val="2EB060C2"/>
    <w:rsid w:val="2EE30245"/>
    <w:rsid w:val="2EF600CE"/>
    <w:rsid w:val="2EFF6701"/>
    <w:rsid w:val="2F1A656A"/>
    <w:rsid w:val="2F230642"/>
    <w:rsid w:val="2F4B1946"/>
    <w:rsid w:val="2F57653D"/>
    <w:rsid w:val="2F5A7DDB"/>
    <w:rsid w:val="2F6C023B"/>
    <w:rsid w:val="2F805A94"/>
    <w:rsid w:val="2F971030"/>
    <w:rsid w:val="2FB43990"/>
    <w:rsid w:val="2FB7205E"/>
    <w:rsid w:val="2FD1009E"/>
    <w:rsid w:val="2FEF17D3"/>
    <w:rsid w:val="30073ABF"/>
    <w:rsid w:val="30134BA2"/>
    <w:rsid w:val="30236595"/>
    <w:rsid w:val="302C37D6"/>
    <w:rsid w:val="303F591A"/>
    <w:rsid w:val="30564A47"/>
    <w:rsid w:val="308B0B94"/>
    <w:rsid w:val="309610E1"/>
    <w:rsid w:val="30AD3E25"/>
    <w:rsid w:val="30CB0F91"/>
    <w:rsid w:val="30D4696B"/>
    <w:rsid w:val="30E4478A"/>
    <w:rsid w:val="30F1651D"/>
    <w:rsid w:val="31061FC9"/>
    <w:rsid w:val="3106646D"/>
    <w:rsid w:val="31077AEF"/>
    <w:rsid w:val="310C576F"/>
    <w:rsid w:val="310D77FB"/>
    <w:rsid w:val="311741D6"/>
    <w:rsid w:val="31220EAF"/>
    <w:rsid w:val="314A45AB"/>
    <w:rsid w:val="314F3970"/>
    <w:rsid w:val="31532D34"/>
    <w:rsid w:val="315A2315"/>
    <w:rsid w:val="316230CA"/>
    <w:rsid w:val="316E0008"/>
    <w:rsid w:val="317E5291"/>
    <w:rsid w:val="318E7E8E"/>
    <w:rsid w:val="31AB2B70"/>
    <w:rsid w:val="31B61C41"/>
    <w:rsid w:val="31E247E4"/>
    <w:rsid w:val="3212499D"/>
    <w:rsid w:val="3229498E"/>
    <w:rsid w:val="322A02D2"/>
    <w:rsid w:val="32512C1F"/>
    <w:rsid w:val="325D030E"/>
    <w:rsid w:val="32702747"/>
    <w:rsid w:val="32894162"/>
    <w:rsid w:val="328C0BF4"/>
    <w:rsid w:val="32A41A99"/>
    <w:rsid w:val="32D47C25"/>
    <w:rsid w:val="32E612B7"/>
    <w:rsid w:val="33030EB6"/>
    <w:rsid w:val="331D7EAC"/>
    <w:rsid w:val="332901F1"/>
    <w:rsid w:val="333F5C66"/>
    <w:rsid w:val="339671F3"/>
    <w:rsid w:val="33A57FD2"/>
    <w:rsid w:val="33BF54DD"/>
    <w:rsid w:val="33D740F0"/>
    <w:rsid w:val="33FB7DDF"/>
    <w:rsid w:val="34060532"/>
    <w:rsid w:val="34076784"/>
    <w:rsid w:val="341C4A20"/>
    <w:rsid w:val="344A041F"/>
    <w:rsid w:val="345968B4"/>
    <w:rsid w:val="34667D42"/>
    <w:rsid w:val="34847DD4"/>
    <w:rsid w:val="348E5906"/>
    <w:rsid w:val="34AB35B3"/>
    <w:rsid w:val="34B67EB6"/>
    <w:rsid w:val="34BB43CE"/>
    <w:rsid w:val="34CA0497"/>
    <w:rsid w:val="34E06F44"/>
    <w:rsid w:val="35070F77"/>
    <w:rsid w:val="35072FCC"/>
    <w:rsid w:val="355D4D9E"/>
    <w:rsid w:val="356D7F07"/>
    <w:rsid w:val="358D4A67"/>
    <w:rsid w:val="359F450B"/>
    <w:rsid w:val="35C020D4"/>
    <w:rsid w:val="35D42696"/>
    <w:rsid w:val="35D94150"/>
    <w:rsid w:val="35DC121D"/>
    <w:rsid w:val="35E825E5"/>
    <w:rsid w:val="35EB2B88"/>
    <w:rsid w:val="360D2829"/>
    <w:rsid w:val="361433DA"/>
    <w:rsid w:val="362353CB"/>
    <w:rsid w:val="363107D5"/>
    <w:rsid w:val="363A2D8B"/>
    <w:rsid w:val="365E1290"/>
    <w:rsid w:val="365E4655"/>
    <w:rsid w:val="367359A1"/>
    <w:rsid w:val="36745C27"/>
    <w:rsid w:val="36877708"/>
    <w:rsid w:val="368878B7"/>
    <w:rsid w:val="36A75FFC"/>
    <w:rsid w:val="36AF6C5F"/>
    <w:rsid w:val="36BD137C"/>
    <w:rsid w:val="36D861B6"/>
    <w:rsid w:val="36DA4CF0"/>
    <w:rsid w:val="36EF52AD"/>
    <w:rsid w:val="36F54FB9"/>
    <w:rsid w:val="36F6488E"/>
    <w:rsid w:val="36FA25D0"/>
    <w:rsid w:val="3700570C"/>
    <w:rsid w:val="370364ED"/>
    <w:rsid w:val="370945C1"/>
    <w:rsid w:val="37152F66"/>
    <w:rsid w:val="37160A8C"/>
    <w:rsid w:val="37180CA8"/>
    <w:rsid w:val="371B2546"/>
    <w:rsid w:val="371C0798"/>
    <w:rsid w:val="37225683"/>
    <w:rsid w:val="372C02AF"/>
    <w:rsid w:val="373D070E"/>
    <w:rsid w:val="37500442"/>
    <w:rsid w:val="375F0565"/>
    <w:rsid w:val="377A54BF"/>
    <w:rsid w:val="37C95C60"/>
    <w:rsid w:val="37D16E30"/>
    <w:rsid w:val="37DC20B5"/>
    <w:rsid w:val="37F93FB2"/>
    <w:rsid w:val="38082ACA"/>
    <w:rsid w:val="3809239F"/>
    <w:rsid w:val="38261329"/>
    <w:rsid w:val="38621CBC"/>
    <w:rsid w:val="38645B88"/>
    <w:rsid w:val="3882287D"/>
    <w:rsid w:val="3885236D"/>
    <w:rsid w:val="38A03528"/>
    <w:rsid w:val="38A50319"/>
    <w:rsid w:val="38B92017"/>
    <w:rsid w:val="38BB2CA4"/>
    <w:rsid w:val="38D11EE7"/>
    <w:rsid w:val="38EC4A4A"/>
    <w:rsid w:val="38EF77E6"/>
    <w:rsid w:val="38F31085"/>
    <w:rsid w:val="38FC4F13"/>
    <w:rsid w:val="38FF20BA"/>
    <w:rsid w:val="390F7E89"/>
    <w:rsid w:val="394B11C6"/>
    <w:rsid w:val="39556671"/>
    <w:rsid w:val="396C14D4"/>
    <w:rsid w:val="397F118F"/>
    <w:rsid w:val="398B5761"/>
    <w:rsid w:val="398B750F"/>
    <w:rsid w:val="399F2FBB"/>
    <w:rsid w:val="39A750FD"/>
    <w:rsid w:val="39A86A4B"/>
    <w:rsid w:val="39AF2A8B"/>
    <w:rsid w:val="39B96732"/>
    <w:rsid w:val="39C742BF"/>
    <w:rsid w:val="39FF1CAB"/>
    <w:rsid w:val="3A105C66"/>
    <w:rsid w:val="3A287454"/>
    <w:rsid w:val="3A303E47"/>
    <w:rsid w:val="3A5D196B"/>
    <w:rsid w:val="3A732C18"/>
    <w:rsid w:val="3A8F74D3"/>
    <w:rsid w:val="3AA20FB4"/>
    <w:rsid w:val="3AAF1923"/>
    <w:rsid w:val="3ACA22B9"/>
    <w:rsid w:val="3AD35612"/>
    <w:rsid w:val="3AF85774"/>
    <w:rsid w:val="3B0752BB"/>
    <w:rsid w:val="3B17312B"/>
    <w:rsid w:val="3B273268"/>
    <w:rsid w:val="3B3140E6"/>
    <w:rsid w:val="3B497682"/>
    <w:rsid w:val="3B5129DA"/>
    <w:rsid w:val="3B6E27F5"/>
    <w:rsid w:val="3B7D557D"/>
    <w:rsid w:val="3B800BCA"/>
    <w:rsid w:val="3B854CFF"/>
    <w:rsid w:val="3B866BF8"/>
    <w:rsid w:val="3B95051F"/>
    <w:rsid w:val="3BAA5C47"/>
    <w:rsid w:val="3BCE402B"/>
    <w:rsid w:val="3BD827B4"/>
    <w:rsid w:val="3BE20957"/>
    <w:rsid w:val="3BFC46F4"/>
    <w:rsid w:val="3C0A38D9"/>
    <w:rsid w:val="3C4B3845"/>
    <w:rsid w:val="3C5A5BA6"/>
    <w:rsid w:val="3C736AA1"/>
    <w:rsid w:val="3C8D17F0"/>
    <w:rsid w:val="3C901031"/>
    <w:rsid w:val="3C9E1C4F"/>
    <w:rsid w:val="3CA31F5F"/>
    <w:rsid w:val="3CA7248F"/>
    <w:rsid w:val="3CAA0A5C"/>
    <w:rsid w:val="3CDB69FF"/>
    <w:rsid w:val="3CE31410"/>
    <w:rsid w:val="3CFD4BC8"/>
    <w:rsid w:val="3CFE9542"/>
    <w:rsid w:val="3D0A1093"/>
    <w:rsid w:val="3D18555E"/>
    <w:rsid w:val="3D1E75F0"/>
    <w:rsid w:val="3D2F28A7"/>
    <w:rsid w:val="3D393726"/>
    <w:rsid w:val="3D8E5820"/>
    <w:rsid w:val="3D915310"/>
    <w:rsid w:val="3DA61CC4"/>
    <w:rsid w:val="3DDF42CD"/>
    <w:rsid w:val="3DE851AC"/>
    <w:rsid w:val="3E047890"/>
    <w:rsid w:val="3E236774"/>
    <w:rsid w:val="3E246184"/>
    <w:rsid w:val="3E2972F7"/>
    <w:rsid w:val="3E43485C"/>
    <w:rsid w:val="3E5111A9"/>
    <w:rsid w:val="3E5D53FE"/>
    <w:rsid w:val="3ED5122D"/>
    <w:rsid w:val="3EDD4F1C"/>
    <w:rsid w:val="3EE37DED"/>
    <w:rsid w:val="3F2A77CA"/>
    <w:rsid w:val="3F320BBB"/>
    <w:rsid w:val="3F387944"/>
    <w:rsid w:val="3F393E27"/>
    <w:rsid w:val="3F5900B0"/>
    <w:rsid w:val="3F5C54AA"/>
    <w:rsid w:val="3F6A5E19"/>
    <w:rsid w:val="3F9115F7"/>
    <w:rsid w:val="3FC512A1"/>
    <w:rsid w:val="3FD50418"/>
    <w:rsid w:val="3FDA4D4C"/>
    <w:rsid w:val="3FEF631E"/>
    <w:rsid w:val="3FF9CB78"/>
    <w:rsid w:val="400145D0"/>
    <w:rsid w:val="4002048C"/>
    <w:rsid w:val="400B3158"/>
    <w:rsid w:val="40181D19"/>
    <w:rsid w:val="40302BBE"/>
    <w:rsid w:val="406867FC"/>
    <w:rsid w:val="406D7D30"/>
    <w:rsid w:val="40752CC7"/>
    <w:rsid w:val="4092595D"/>
    <w:rsid w:val="4093314D"/>
    <w:rsid w:val="40933B60"/>
    <w:rsid w:val="40AB3824"/>
    <w:rsid w:val="40AE789B"/>
    <w:rsid w:val="40BB0A30"/>
    <w:rsid w:val="40C33A6F"/>
    <w:rsid w:val="40E035B2"/>
    <w:rsid w:val="41006A35"/>
    <w:rsid w:val="41354204"/>
    <w:rsid w:val="413978B6"/>
    <w:rsid w:val="41526B64"/>
    <w:rsid w:val="417E2FD9"/>
    <w:rsid w:val="417E7959"/>
    <w:rsid w:val="41867FA2"/>
    <w:rsid w:val="41AF045B"/>
    <w:rsid w:val="41AF4511"/>
    <w:rsid w:val="41BF069E"/>
    <w:rsid w:val="41C065B7"/>
    <w:rsid w:val="41C95079"/>
    <w:rsid w:val="41EC6C45"/>
    <w:rsid w:val="41F63994"/>
    <w:rsid w:val="42005226"/>
    <w:rsid w:val="420C31B7"/>
    <w:rsid w:val="42553808"/>
    <w:rsid w:val="425A3F23"/>
    <w:rsid w:val="425C413F"/>
    <w:rsid w:val="4262523B"/>
    <w:rsid w:val="42664FBD"/>
    <w:rsid w:val="42666D6B"/>
    <w:rsid w:val="426B25D4"/>
    <w:rsid w:val="42964A8D"/>
    <w:rsid w:val="42AC04F6"/>
    <w:rsid w:val="42C35E1F"/>
    <w:rsid w:val="42D55C9F"/>
    <w:rsid w:val="42F73E67"/>
    <w:rsid w:val="43014CE6"/>
    <w:rsid w:val="432E715D"/>
    <w:rsid w:val="434009FC"/>
    <w:rsid w:val="43414799"/>
    <w:rsid w:val="43AA420D"/>
    <w:rsid w:val="43C7713E"/>
    <w:rsid w:val="43D276FE"/>
    <w:rsid w:val="43D9356D"/>
    <w:rsid w:val="43DD4E0B"/>
    <w:rsid w:val="43EC14F2"/>
    <w:rsid w:val="44001844"/>
    <w:rsid w:val="44034075"/>
    <w:rsid w:val="44054362"/>
    <w:rsid w:val="440A1978"/>
    <w:rsid w:val="440F5E19"/>
    <w:rsid w:val="441B49B7"/>
    <w:rsid w:val="44286853"/>
    <w:rsid w:val="444035EC"/>
    <w:rsid w:val="44496945"/>
    <w:rsid w:val="444D19C8"/>
    <w:rsid w:val="444E7564"/>
    <w:rsid w:val="445D5F4C"/>
    <w:rsid w:val="447A4D50"/>
    <w:rsid w:val="44A92F3F"/>
    <w:rsid w:val="44AC50DD"/>
    <w:rsid w:val="44D34460"/>
    <w:rsid w:val="44D37FBC"/>
    <w:rsid w:val="44D501D8"/>
    <w:rsid w:val="44E126D9"/>
    <w:rsid w:val="44EA5F34"/>
    <w:rsid w:val="44F56185"/>
    <w:rsid w:val="451C1963"/>
    <w:rsid w:val="452F0508"/>
    <w:rsid w:val="45315876"/>
    <w:rsid w:val="453749EF"/>
    <w:rsid w:val="454D212F"/>
    <w:rsid w:val="45530DD2"/>
    <w:rsid w:val="45633A36"/>
    <w:rsid w:val="4569673C"/>
    <w:rsid w:val="45897CA6"/>
    <w:rsid w:val="45A11893"/>
    <w:rsid w:val="45CD7101"/>
    <w:rsid w:val="45D1274E"/>
    <w:rsid w:val="45E1221A"/>
    <w:rsid w:val="461865CE"/>
    <w:rsid w:val="465B470D"/>
    <w:rsid w:val="465B64BB"/>
    <w:rsid w:val="465F6E7E"/>
    <w:rsid w:val="46674E60"/>
    <w:rsid w:val="46717A8D"/>
    <w:rsid w:val="4682613E"/>
    <w:rsid w:val="4685178A"/>
    <w:rsid w:val="46853538"/>
    <w:rsid w:val="468C0B54"/>
    <w:rsid w:val="469814BD"/>
    <w:rsid w:val="469C3A66"/>
    <w:rsid w:val="46B6317F"/>
    <w:rsid w:val="46BF4C9C"/>
    <w:rsid w:val="46D00C57"/>
    <w:rsid w:val="46E26BDC"/>
    <w:rsid w:val="47021509"/>
    <w:rsid w:val="4743767B"/>
    <w:rsid w:val="474927B8"/>
    <w:rsid w:val="47655843"/>
    <w:rsid w:val="47743502"/>
    <w:rsid w:val="478832E0"/>
    <w:rsid w:val="478F2404"/>
    <w:rsid w:val="478F466E"/>
    <w:rsid w:val="47906638"/>
    <w:rsid w:val="47A42F5C"/>
    <w:rsid w:val="47A7568D"/>
    <w:rsid w:val="47BA61B0"/>
    <w:rsid w:val="47C702AC"/>
    <w:rsid w:val="47C85DD2"/>
    <w:rsid w:val="47D108A9"/>
    <w:rsid w:val="48052B82"/>
    <w:rsid w:val="480706A9"/>
    <w:rsid w:val="481A3241"/>
    <w:rsid w:val="48223734"/>
    <w:rsid w:val="48256D81"/>
    <w:rsid w:val="48320CEA"/>
    <w:rsid w:val="484927E7"/>
    <w:rsid w:val="485F6737"/>
    <w:rsid w:val="486A657B"/>
    <w:rsid w:val="487D2A4C"/>
    <w:rsid w:val="488F6235"/>
    <w:rsid w:val="48981C49"/>
    <w:rsid w:val="48BA5371"/>
    <w:rsid w:val="48C4659A"/>
    <w:rsid w:val="48D367DD"/>
    <w:rsid w:val="48FF75D2"/>
    <w:rsid w:val="4900334A"/>
    <w:rsid w:val="491237A9"/>
    <w:rsid w:val="49647D7D"/>
    <w:rsid w:val="497F6965"/>
    <w:rsid w:val="498D72D3"/>
    <w:rsid w:val="49905AA5"/>
    <w:rsid w:val="49942410"/>
    <w:rsid w:val="49AF0FF8"/>
    <w:rsid w:val="49C64593"/>
    <w:rsid w:val="49E1317B"/>
    <w:rsid w:val="49FA5FEB"/>
    <w:rsid w:val="4A25750C"/>
    <w:rsid w:val="4A365275"/>
    <w:rsid w:val="4A4D25BF"/>
    <w:rsid w:val="4A53340D"/>
    <w:rsid w:val="4A5D6356"/>
    <w:rsid w:val="4A742241"/>
    <w:rsid w:val="4A823A98"/>
    <w:rsid w:val="4A995804"/>
    <w:rsid w:val="4AB30599"/>
    <w:rsid w:val="4AB634BC"/>
    <w:rsid w:val="4AC04DCC"/>
    <w:rsid w:val="4AC76815"/>
    <w:rsid w:val="4AD625B4"/>
    <w:rsid w:val="4AF63240"/>
    <w:rsid w:val="4AF84C20"/>
    <w:rsid w:val="4AF95AAF"/>
    <w:rsid w:val="4B0709C0"/>
    <w:rsid w:val="4B2D40E0"/>
    <w:rsid w:val="4B5005B9"/>
    <w:rsid w:val="4B6665DA"/>
    <w:rsid w:val="4B76081B"/>
    <w:rsid w:val="4B81110B"/>
    <w:rsid w:val="4B811E4C"/>
    <w:rsid w:val="4B8F025D"/>
    <w:rsid w:val="4B9A5CD8"/>
    <w:rsid w:val="4B9E11B1"/>
    <w:rsid w:val="4BB9615E"/>
    <w:rsid w:val="4BDC009E"/>
    <w:rsid w:val="4C0849EF"/>
    <w:rsid w:val="4C087235"/>
    <w:rsid w:val="4C0C555D"/>
    <w:rsid w:val="4C0F5D7E"/>
    <w:rsid w:val="4C335B1F"/>
    <w:rsid w:val="4C373527"/>
    <w:rsid w:val="4C4421CE"/>
    <w:rsid w:val="4C471CDC"/>
    <w:rsid w:val="4C4C6FD2"/>
    <w:rsid w:val="4C7622A1"/>
    <w:rsid w:val="4C7671E2"/>
    <w:rsid w:val="4C7E1155"/>
    <w:rsid w:val="4C9D5A7F"/>
    <w:rsid w:val="4CA50490"/>
    <w:rsid w:val="4CA62ADF"/>
    <w:rsid w:val="4CC748AA"/>
    <w:rsid w:val="4CDF7E46"/>
    <w:rsid w:val="4CEE62DB"/>
    <w:rsid w:val="4CF338F1"/>
    <w:rsid w:val="4CFC26F0"/>
    <w:rsid w:val="4D057181"/>
    <w:rsid w:val="4D0926B1"/>
    <w:rsid w:val="4D0B0C3B"/>
    <w:rsid w:val="4D0E10B0"/>
    <w:rsid w:val="4D135D42"/>
    <w:rsid w:val="4D3164A8"/>
    <w:rsid w:val="4D317F76"/>
    <w:rsid w:val="4D3863B5"/>
    <w:rsid w:val="4D3E083E"/>
    <w:rsid w:val="4D4D4DEF"/>
    <w:rsid w:val="4D510618"/>
    <w:rsid w:val="4D5819A6"/>
    <w:rsid w:val="4D5F4AE3"/>
    <w:rsid w:val="4D671BE9"/>
    <w:rsid w:val="4D937AC7"/>
    <w:rsid w:val="4D987FF5"/>
    <w:rsid w:val="4D9F52D5"/>
    <w:rsid w:val="4DA150FB"/>
    <w:rsid w:val="4DB27309"/>
    <w:rsid w:val="4DC1210F"/>
    <w:rsid w:val="4DC85691"/>
    <w:rsid w:val="4DDC6134"/>
    <w:rsid w:val="4E21448E"/>
    <w:rsid w:val="4E2B2C17"/>
    <w:rsid w:val="4E5B0CD0"/>
    <w:rsid w:val="4E7740AE"/>
    <w:rsid w:val="4E854A1D"/>
    <w:rsid w:val="4E8779D4"/>
    <w:rsid w:val="4EA2056A"/>
    <w:rsid w:val="4EAC2D67"/>
    <w:rsid w:val="4ECB0152"/>
    <w:rsid w:val="4ED34B58"/>
    <w:rsid w:val="4ED432AF"/>
    <w:rsid w:val="4EDD03B5"/>
    <w:rsid w:val="4F1D07B2"/>
    <w:rsid w:val="4F3D70A6"/>
    <w:rsid w:val="4F4C1097"/>
    <w:rsid w:val="4F5A37B4"/>
    <w:rsid w:val="4F5B6CC0"/>
    <w:rsid w:val="4F7A3E56"/>
    <w:rsid w:val="4FD11B68"/>
    <w:rsid w:val="4FE37C4D"/>
    <w:rsid w:val="4FE47521"/>
    <w:rsid w:val="503A35E5"/>
    <w:rsid w:val="504F52E3"/>
    <w:rsid w:val="506E064E"/>
    <w:rsid w:val="50716320"/>
    <w:rsid w:val="507E6A13"/>
    <w:rsid w:val="5080549C"/>
    <w:rsid w:val="50827466"/>
    <w:rsid w:val="5097422E"/>
    <w:rsid w:val="50983A51"/>
    <w:rsid w:val="50A5014D"/>
    <w:rsid w:val="50AC6291"/>
    <w:rsid w:val="50CE26AB"/>
    <w:rsid w:val="50D46B08"/>
    <w:rsid w:val="50E83041"/>
    <w:rsid w:val="50EC2B32"/>
    <w:rsid w:val="50F11EF6"/>
    <w:rsid w:val="51031C29"/>
    <w:rsid w:val="51226553"/>
    <w:rsid w:val="512D310E"/>
    <w:rsid w:val="51316796"/>
    <w:rsid w:val="514C1822"/>
    <w:rsid w:val="515661FD"/>
    <w:rsid w:val="516721B8"/>
    <w:rsid w:val="518014CC"/>
    <w:rsid w:val="519D6DF7"/>
    <w:rsid w:val="51D27F79"/>
    <w:rsid w:val="51D35A9F"/>
    <w:rsid w:val="51DC644B"/>
    <w:rsid w:val="51DF2696"/>
    <w:rsid w:val="51E13E09"/>
    <w:rsid w:val="51E37891"/>
    <w:rsid w:val="520B348B"/>
    <w:rsid w:val="52143C31"/>
    <w:rsid w:val="52157E66"/>
    <w:rsid w:val="521A547C"/>
    <w:rsid w:val="52410974"/>
    <w:rsid w:val="52754DA9"/>
    <w:rsid w:val="527C6137"/>
    <w:rsid w:val="52833022"/>
    <w:rsid w:val="52884ADC"/>
    <w:rsid w:val="52C879B6"/>
    <w:rsid w:val="52CB569C"/>
    <w:rsid w:val="52D7336D"/>
    <w:rsid w:val="532F4F57"/>
    <w:rsid w:val="534D1D39"/>
    <w:rsid w:val="53650979"/>
    <w:rsid w:val="539F20DD"/>
    <w:rsid w:val="53A2397B"/>
    <w:rsid w:val="53BF433F"/>
    <w:rsid w:val="53C86350"/>
    <w:rsid w:val="53C953AC"/>
    <w:rsid w:val="53D0673A"/>
    <w:rsid w:val="53E61ABA"/>
    <w:rsid w:val="53EE096F"/>
    <w:rsid w:val="54025262"/>
    <w:rsid w:val="540E2C36"/>
    <w:rsid w:val="54380DBD"/>
    <w:rsid w:val="543D20AE"/>
    <w:rsid w:val="546E1AAF"/>
    <w:rsid w:val="548412D3"/>
    <w:rsid w:val="54905ECA"/>
    <w:rsid w:val="549E2395"/>
    <w:rsid w:val="54B020C8"/>
    <w:rsid w:val="54B560B8"/>
    <w:rsid w:val="54B96538"/>
    <w:rsid w:val="54CB6F02"/>
    <w:rsid w:val="54D265DB"/>
    <w:rsid w:val="54DC2EBD"/>
    <w:rsid w:val="54F226E1"/>
    <w:rsid w:val="54F2623D"/>
    <w:rsid w:val="55236D3E"/>
    <w:rsid w:val="55286102"/>
    <w:rsid w:val="552F7491"/>
    <w:rsid w:val="55313209"/>
    <w:rsid w:val="55652EB2"/>
    <w:rsid w:val="55675EA7"/>
    <w:rsid w:val="55825812"/>
    <w:rsid w:val="55915A56"/>
    <w:rsid w:val="55943798"/>
    <w:rsid w:val="559519EA"/>
    <w:rsid w:val="55B31E70"/>
    <w:rsid w:val="55BD2CEE"/>
    <w:rsid w:val="55C11C77"/>
    <w:rsid w:val="55CA71B9"/>
    <w:rsid w:val="560426CB"/>
    <w:rsid w:val="5610100B"/>
    <w:rsid w:val="562D2C50"/>
    <w:rsid w:val="56356881"/>
    <w:rsid w:val="5637484F"/>
    <w:rsid w:val="564E629E"/>
    <w:rsid w:val="56535401"/>
    <w:rsid w:val="565A22EB"/>
    <w:rsid w:val="5671683F"/>
    <w:rsid w:val="56786C15"/>
    <w:rsid w:val="56892BD1"/>
    <w:rsid w:val="569548E9"/>
    <w:rsid w:val="56963DC0"/>
    <w:rsid w:val="56A65531"/>
    <w:rsid w:val="56AD7B8D"/>
    <w:rsid w:val="56D03FD5"/>
    <w:rsid w:val="56F9263C"/>
    <w:rsid w:val="56FE4415"/>
    <w:rsid w:val="570735E5"/>
    <w:rsid w:val="572172AD"/>
    <w:rsid w:val="572B0FA0"/>
    <w:rsid w:val="572E5D10"/>
    <w:rsid w:val="572F55D8"/>
    <w:rsid w:val="5748483A"/>
    <w:rsid w:val="57486281"/>
    <w:rsid w:val="57632B65"/>
    <w:rsid w:val="5771299E"/>
    <w:rsid w:val="578C2978"/>
    <w:rsid w:val="579B0E0D"/>
    <w:rsid w:val="57A35CA6"/>
    <w:rsid w:val="57A36428"/>
    <w:rsid w:val="57B23CE2"/>
    <w:rsid w:val="57C041E7"/>
    <w:rsid w:val="57F30C49"/>
    <w:rsid w:val="57F70DCD"/>
    <w:rsid w:val="57FF75EE"/>
    <w:rsid w:val="57FFD0E3"/>
    <w:rsid w:val="58134E48"/>
    <w:rsid w:val="5818420C"/>
    <w:rsid w:val="583848AE"/>
    <w:rsid w:val="583D3C73"/>
    <w:rsid w:val="58401B80"/>
    <w:rsid w:val="58516B1B"/>
    <w:rsid w:val="585F3162"/>
    <w:rsid w:val="586236D9"/>
    <w:rsid w:val="587C3D7F"/>
    <w:rsid w:val="589B2EA7"/>
    <w:rsid w:val="58C51E12"/>
    <w:rsid w:val="59012EF2"/>
    <w:rsid w:val="590F1AB3"/>
    <w:rsid w:val="59254E33"/>
    <w:rsid w:val="593128C8"/>
    <w:rsid w:val="593E7CA2"/>
    <w:rsid w:val="5942669A"/>
    <w:rsid w:val="594352B9"/>
    <w:rsid w:val="598A738C"/>
    <w:rsid w:val="599268B6"/>
    <w:rsid w:val="59965D30"/>
    <w:rsid w:val="59BE1C57"/>
    <w:rsid w:val="59C26B25"/>
    <w:rsid w:val="59C503C4"/>
    <w:rsid w:val="59D55D21"/>
    <w:rsid w:val="59DE1485"/>
    <w:rsid w:val="59FF38D6"/>
    <w:rsid w:val="5A24333C"/>
    <w:rsid w:val="5A354068"/>
    <w:rsid w:val="5A490FF5"/>
    <w:rsid w:val="5A8F4597"/>
    <w:rsid w:val="5A963B0E"/>
    <w:rsid w:val="5A971D60"/>
    <w:rsid w:val="5AA71877"/>
    <w:rsid w:val="5ABE158B"/>
    <w:rsid w:val="5AC8016B"/>
    <w:rsid w:val="5B3B6397"/>
    <w:rsid w:val="5B490B80"/>
    <w:rsid w:val="5B4D7972"/>
    <w:rsid w:val="5B5F03A4"/>
    <w:rsid w:val="5B70610D"/>
    <w:rsid w:val="5B7E4023"/>
    <w:rsid w:val="5B874E60"/>
    <w:rsid w:val="5B9067AF"/>
    <w:rsid w:val="5BA81D4B"/>
    <w:rsid w:val="5BAA5AC3"/>
    <w:rsid w:val="5BAF2099"/>
    <w:rsid w:val="5BB3148E"/>
    <w:rsid w:val="5BCC758D"/>
    <w:rsid w:val="5BCE7A03"/>
    <w:rsid w:val="5BDFA9D2"/>
    <w:rsid w:val="5BF1724E"/>
    <w:rsid w:val="5BFC7A73"/>
    <w:rsid w:val="5C090A3C"/>
    <w:rsid w:val="5C1178F0"/>
    <w:rsid w:val="5C1271C4"/>
    <w:rsid w:val="5C15614C"/>
    <w:rsid w:val="5C4C0928"/>
    <w:rsid w:val="5C531CB7"/>
    <w:rsid w:val="5C651056"/>
    <w:rsid w:val="5C78796F"/>
    <w:rsid w:val="5C902F0B"/>
    <w:rsid w:val="5CA6628A"/>
    <w:rsid w:val="5CC61E6E"/>
    <w:rsid w:val="5CCF456B"/>
    <w:rsid w:val="5CD97A8A"/>
    <w:rsid w:val="5CDB6E96"/>
    <w:rsid w:val="5CFA0384"/>
    <w:rsid w:val="5D0B07E3"/>
    <w:rsid w:val="5D0D455B"/>
    <w:rsid w:val="5D0D6309"/>
    <w:rsid w:val="5D381195"/>
    <w:rsid w:val="5D494B79"/>
    <w:rsid w:val="5D543D8E"/>
    <w:rsid w:val="5D56724F"/>
    <w:rsid w:val="5D602435"/>
    <w:rsid w:val="5D804D2D"/>
    <w:rsid w:val="5D8F4F70"/>
    <w:rsid w:val="5DDC7A8A"/>
    <w:rsid w:val="5DDF5DAE"/>
    <w:rsid w:val="5DED613B"/>
    <w:rsid w:val="5E3B2041"/>
    <w:rsid w:val="5E4F16FC"/>
    <w:rsid w:val="5E621C2D"/>
    <w:rsid w:val="5E750A59"/>
    <w:rsid w:val="5E8425FB"/>
    <w:rsid w:val="5E895E64"/>
    <w:rsid w:val="5E8F2D4E"/>
    <w:rsid w:val="5EBD2D1D"/>
    <w:rsid w:val="5EDA66BF"/>
    <w:rsid w:val="5EF07C91"/>
    <w:rsid w:val="5EF21029"/>
    <w:rsid w:val="5EF5FED4"/>
    <w:rsid w:val="5EF625EF"/>
    <w:rsid w:val="5EFD23AE"/>
    <w:rsid w:val="5EFF7ED4"/>
    <w:rsid w:val="5F1078C0"/>
    <w:rsid w:val="5F207191"/>
    <w:rsid w:val="5F2370D5"/>
    <w:rsid w:val="5F5244A8"/>
    <w:rsid w:val="5F583601"/>
    <w:rsid w:val="5F6441DB"/>
    <w:rsid w:val="5F795ED8"/>
    <w:rsid w:val="5F8108E9"/>
    <w:rsid w:val="5F8D54E0"/>
    <w:rsid w:val="5F9A031B"/>
    <w:rsid w:val="5FA6034F"/>
    <w:rsid w:val="5FA97E40"/>
    <w:rsid w:val="5FABEFE0"/>
    <w:rsid w:val="5FC861A0"/>
    <w:rsid w:val="5FCB6008"/>
    <w:rsid w:val="5FD96977"/>
    <w:rsid w:val="5FDE423B"/>
    <w:rsid w:val="5FDF2D74"/>
    <w:rsid w:val="5FDF3861"/>
    <w:rsid w:val="5FFBA554"/>
    <w:rsid w:val="6008100A"/>
    <w:rsid w:val="60116111"/>
    <w:rsid w:val="601A5B8D"/>
    <w:rsid w:val="602109AB"/>
    <w:rsid w:val="60675D31"/>
    <w:rsid w:val="606F4BE5"/>
    <w:rsid w:val="60713C34"/>
    <w:rsid w:val="607C7302"/>
    <w:rsid w:val="60860D44"/>
    <w:rsid w:val="60940AF0"/>
    <w:rsid w:val="60BA67A8"/>
    <w:rsid w:val="60BB42CE"/>
    <w:rsid w:val="60E17038"/>
    <w:rsid w:val="60F3B1F7"/>
    <w:rsid w:val="610C68D8"/>
    <w:rsid w:val="612E0F6E"/>
    <w:rsid w:val="61372A27"/>
    <w:rsid w:val="613D4CE3"/>
    <w:rsid w:val="614505A8"/>
    <w:rsid w:val="61774699"/>
    <w:rsid w:val="617D21BB"/>
    <w:rsid w:val="61857DFB"/>
    <w:rsid w:val="61B026D5"/>
    <w:rsid w:val="61BE17EE"/>
    <w:rsid w:val="61C56404"/>
    <w:rsid w:val="61EF4230"/>
    <w:rsid w:val="622C5484"/>
    <w:rsid w:val="6230385D"/>
    <w:rsid w:val="6242527D"/>
    <w:rsid w:val="62606EDB"/>
    <w:rsid w:val="626B6481"/>
    <w:rsid w:val="626D4869"/>
    <w:rsid w:val="627D5CDF"/>
    <w:rsid w:val="629B7F14"/>
    <w:rsid w:val="62A3501A"/>
    <w:rsid w:val="62B47227"/>
    <w:rsid w:val="62B9483E"/>
    <w:rsid w:val="62BB6808"/>
    <w:rsid w:val="62C21041"/>
    <w:rsid w:val="62C21944"/>
    <w:rsid w:val="62CF1CB5"/>
    <w:rsid w:val="62D90A3C"/>
    <w:rsid w:val="63584057"/>
    <w:rsid w:val="636E5628"/>
    <w:rsid w:val="637569B7"/>
    <w:rsid w:val="638210D3"/>
    <w:rsid w:val="63860BC4"/>
    <w:rsid w:val="639037F0"/>
    <w:rsid w:val="639710C3"/>
    <w:rsid w:val="6401649C"/>
    <w:rsid w:val="641E2BAA"/>
    <w:rsid w:val="64446389"/>
    <w:rsid w:val="6447122F"/>
    <w:rsid w:val="646E18AB"/>
    <w:rsid w:val="648A24D3"/>
    <w:rsid w:val="648D7D30"/>
    <w:rsid w:val="6497295D"/>
    <w:rsid w:val="64B56CB3"/>
    <w:rsid w:val="650643F8"/>
    <w:rsid w:val="650A5824"/>
    <w:rsid w:val="651915C4"/>
    <w:rsid w:val="65332685"/>
    <w:rsid w:val="65384140"/>
    <w:rsid w:val="654725D5"/>
    <w:rsid w:val="656B61F9"/>
    <w:rsid w:val="65711400"/>
    <w:rsid w:val="659155FE"/>
    <w:rsid w:val="65A5BB9C"/>
    <w:rsid w:val="65CE23AE"/>
    <w:rsid w:val="65E80585"/>
    <w:rsid w:val="65F71905"/>
    <w:rsid w:val="660D1128"/>
    <w:rsid w:val="66226A93"/>
    <w:rsid w:val="66240220"/>
    <w:rsid w:val="663A3EE7"/>
    <w:rsid w:val="664D7777"/>
    <w:rsid w:val="666920D7"/>
    <w:rsid w:val="666F1DE3"/>
    <w:rsid w:val="668313EA"/>
    <w:rsid w:val="668660CB"/>
    <w:rsid w:val="668D4017"/>
    <w:rsid w:val="66A9783B"/>
    <w:rsid w:val="66B01E27"/>
    <w:rsid w:val="66C814F3"/>
    <w:rsid w:val="66D165FA"/>
    <w:rsid w:val="66E64663"/>
    <w:rsid w:val="66EA76BB"/>
    <w:rsid w:val="66F44096"/>
    <w:rsid w:val="67087B42"/>
    <w:rsid w:val="672A13D7"/>
    <w:rsid w:val="67357A0C"/>
    <w:rsid w:val="67430B7A"/>
    <w:rsid w:val="676905E0"/>
    <w:rsid w:val="677E04AA"/>
    <w:rsid w:val="677F6056"/>
    <w:rsid w:val="67892D1C"/>
    <w:rsid w:val="679809A7"/>
    <w:rsid w:val="679A69EC"/>
    <w:rsid w:val="67A81366"/>
    <w:rsid w:val="67A94E81"/>
    <w:rsid w:val="67AF62A5"/>
    <w:rsid w:val="67AF7FBD"/>
    <w:rsid w:val="67B6759E"/>
    <w:rsid w:val="67BC1058"/>
    <w:rsid w:val="67C4179C"/>
    <w:rsid w:val="67D068B1"/>
    <w:rsid w:val="67E83F23"/>
    <w:rsid w:val="67F02AB0"/>
    <w:rsid w:val="67FA56DC"/>
    <w:rsid w:val="67FCF0D5"/>
    <w:rsid w:val="68086105"/>
    <w:rsid w:val="68152516"/>
    <w:rsid w:val="68205776"/>
    <w:rsid w:val="682B3AE8"/>
    <w:rsid w:val="682D5AB2"/>
    <w:rsid w:val="68420E31"/>
    <w:rsid w:val="68487C0B"/>
    <w:rsid w:val="68711EE3"/>
    <w:rsid w:val="687F4C76"/>
    <w:rsid w:val="689E2A9E"/>
    <w:rsid w:val="68B00491"/>
    <w:rsid w:val="68B7537B"/>
    <w:rsid w:val="68BC0BE4"/>
    <w:rsid w:val="68C121E7"/>
    <w:rsid w:val="68CD5A26"/>
    <w:rsid w:val="68E72104"/>
    <w:rsid w:val="690D7691"/>
    <w:rsid w:val="692073C4"/>
    <w:rsid w:val="6945507D"/>
    <w:rsid w:val="6958090C"/>
    <w:rsid w:val="696077C1"/>
    <w:rsid w:val="6962427C"/>
    <w:rsid w:val="696A3597"/>
    <w:rsid w:val="69A41DA4"/>
    <w:rsid w:val="69B11AA5"/>
    <w:rsid w:val="69BE15E5"/>
    <w:rsid w:val="69DB0302"/>
    <w:rsid w:val="69E5665C"/>
    <w:rsid w:val="69EC528C"/>
    <w:rsid w:val="69ED3663"/>
    <w:rsid w:val="6A0D5B9B"/>
    <w:rsid w:val="6A260A0B"/>
    <w:rsid w:val="6A372C18"/>
    <w:rsid w:val="6A4315BC"/>
    <w:rsid w:val="6A4D41E9"/>
    <w:rsid w:val="6A7A6FA8"/>
    <w:rsid w:val="6A7E1D04"/>
    <w:rsid w:val="6A815C41"/>
    <w:rsid w:val="6A825109"/>
    <w:rsid w:val="6A863EA9"/>
    <w:rsid w:val="6A95793E"/>
    <w:rsid w:val="6AC8114F"/>
    <w:rsid w:val="6AE85CC0"/>
    <w:rsid w:val="6AED2C53"/>
    <w:rsid w:val="6AF26276"/>
    <w:rsid w:val="6AF26B3F"/>
    <w:rsid w:val="6B0F5943"/>
    <w:rsid w:val="6B1437B4"/>
    <w:rsid w:val="6B2A62D8"/>
    <w:rsid w:val="6B376C47"/>
    <w:rsid w:val="6B911BF6"/>
    <w:rsid w:val="6B9B71D6"/>
    <w:rsid w:val="6BA86622"/>
    <w:rsid w:val="6BAA7419"/>
    <w:rsid w:val="6BBF2EC5"/>
    <w:rsid w:val="6BCB7ABB"/>
    <w:rsid w:val="6BD12BF8"/>
    <w:rsid w:val="6BD85D34"/>
    <w:rsid w:val="6BE0108D"/>
    <w:rsid w:val="6BF80ED5"/>
    <w:rsid w:val="6C6D0B73"/>
    <w:rsid w:val="6C8B3C72"/>
    <w:rsid w:val="6CB01570"/>
    <w:rsid w:val="6CD429A0"/>
    <w:rsid w:val="6CD504C6"/>
    <w:rsid w:val="6CDD5CC1"/>
    <w:rsid w:val="6CF3094C"/>
    <w:rsid w:val="6D2053AB"/>
    <w:rsid w:val="6D2D2720"/>
    <w:rsid w:val="6D3451EC"/>
    <w:rsid w:val="6D3501AB"/>
    <w:rsid w:val="6DAA54AF"/>
    <w:rsid w:val="6DC41A60"/>
    <w:rsid w:val="6DD8026E"/>
    <w:rsid w:val="6DE210EC"/>
    <w:rsid w:val="6DF901E4"/>
    <w:rsid w:val="6DFA6436"/>
    <w:rsid w:val="6E012B31"/>
    <w:rsid w:val="6E272FA3"/>
    <w:rsid w:val="6E2E7A12"/>
    <w:rsid w:val="6E535B46"/>
    <w:rsid w:val="6E557B10"/>
    <w:rsid w:val="6E6715F2"/>
    <w:rsid w:val="6E6C4E5A"/>
    <w:rsid w:val="6E9857B1"/>
    <w:rsid w:val="6E9A3775"/>
    <w:rsid w:val="6EC86534"/>
    <w:rsid w:val="6ED547AD"/>
    <w:rsid w:val="6EDA5D43"/>
    <w:rsid w:val="6EDD3264"/>
    <w:rsid w:val="6EDF562C"/>
    <w:rsid w:val="6EEF2A7E"/>
    <w:rsid w:val="6F0155A2"/>
    <w:rsid w:val="6F1E237D"/>
    <w:rsid w:val="6F3E6285"/>
    <w:rsid w:val="6F3F9562"/>
    <w:rsid w:val="6F7A14E6"/>
    <w:rsid w:val="6F912DCA"/>
    <w:rsid w:val="6FAC19B2"/>
    <w:rsid w:val="6FB10D76"/>
    <w:rsid w:val="6FC34F4E"/>
    <w:rsid w:val="6FCB369D"/>
    <w:rsid w:val="6FD11419"/>
    <w:rsid w:val="6FD42CB7"/>
    <w:rsid w:val="6FEC3B67"/>
    <w:rsid w:val="70180DF5"/>
    <w:rsid w:val="70425E72"/>
    <w:rsid w:val="70441BEA"/>
    <w:rsid w:val="70560C89"/>
    <w:rsid w:val="7056191E"/>
    <w:rsid w:val="707324D0"/>
    <w:rsid w:val="70912956"/>
    <w:rsid w:val="70BD0F48"/>
    <w:rsid w:val="70C745CA"/>
    <w:rsid w:val="70E2614B"/>
    <w:rsid w:val="70E95247"/>
    <w:rsid w:val="70ED4459"/>
    <w:rsid w:val="70EF3B34"/>
    <w:rsid w:val="7104581E"/>
    <w:rsid w:val="7116663B"/>
    <w:rsid w:val="711D5A1C"/>
    <w:rsid w:val="713F6856"/>
    <w:rsid w:val="71551BD5"/>
    <w:rsid w:val="71630772"/>
    <w:rsid w:val="718B55F7"/>
    <w:rsid w:val="71922E29"/>
    <w:rsid w:val="71D928C6"/>
    <w:rsid w:val="71FD1AA1"/>
    <w:rsid w:val="720158B9"/>
    <w:rsid w:val="721E46BD"/>
    <w:rsid w:val="722062CE"/>
    <w:rsid w:val="722C0B88"/>
    <w:rsid w:val="722F68CA"/>
    <w:rsid w:val="7238687A"/>
    <w:rsid w:val="727B71EE"/>
    <w:rsid w:val="727D2CEA"/>
    <w:rsid w:val="729D55E2"/>
    <w:rsid w:val="729F135A"/>
    <w:rsid w:val="72C923A4"/>
    <w:rsid w:val="72CE60E3"/>
    <w:rsid w:val="72D22DF7"/>
    <w:rsid w:val="72DC5FEE"/>
    <w:rsid w:val="72E85187"/>
    <w:rsid w:val="72F00FF0"/>
    <w:rsid w:val="72F8159D"/>
    <w:rsid w:val="731358A4"/>
    <w:rsid w:val="73312195"/>
    <w:rsid w:val="73337CF4"/>
    <w:rsid w:val="73554210"/>
    <w:rsid w:val="7363682B"/>
    <w:rsid w:val="736507F6"/>
    <w:rsid w:val="73683A8C"/>
    <w:rsid w:val="736D3206"/>
    <w:rsid w:val="737A30D8"/>
    <w:rsid w:val="737D48CA"/>
    <w:rsid w:val="73895D04"/>
    <w:rsid w:val="73B2330F"/>
    <w:rsid w:val="73C31078"/>
    <w:rsid w:val="73E66E19"/>
    <w:rsid w:val="73FB4CB6"/>
    <w:rsid w:val="740F250F"/>
    <w:rsid w:val="742B70C4"/>
    <w:rsid w:val="743E4BA3"/>
    <w:rsid w:val="7456013E"/>
    <w:rsid w:val="745E2707"/>
    <w:rsid w:val="74716D26"/>
    <w:rsid w:val="74806F69"/>
    <w:rsid w:val="74854FA2"/>
    <w:rsid w:val="749173C8"/>
    <w:rsid w:val="74A17ECF"/>
    <w:rsid w:val="74AC7D5E"/>
    <w:rsid w:val="74BB4445"/>
    <w:rsid w:val="74CC3338"/>
    <w:rsid w:val="74D56996"/>
    <w:rsid w:val="74D774D1"/>
    <w:rsid w:val="74E04CC2"/>
    <w:rsid w:val="74EEEEF9"/>
    <w:rsid w:val="75022074"/>
    <w:rsid w:val="75047B9A"/>
    <w:rsid w:val="75284668"/>
    <w:rsid w:val="75297601"/>
    <w:rsid w:val="752C3D50"/>
    <w:rsid w:val="75306BE1"/>
    <w:rsid w:val="7536401E"/>
    <w:rsid w:val="75422EFB"/>
    <w:rsid w:val="75526B58"/>
    <w:rsid w:val="75526E78"/>
    <w:rsid w:val="75680129"/>
    <w:rsid w:val="759233F8"/>
    <w:rsid w:val="759727BC"/>
    <w:rsid w:val="759767E9"/>
    <w:rsid w:val="75B01AD0"/>
    <w:rsid w:val="75CE1F56"/>
    <w:rsid w:val="75D237F5"/>
    <w:rsid w:val="75D4756D"/>
    <w:rsid w:val="75DE6F36"/>
    <w:rsid w:val="75ED65FA"/>
    <w:rsid w:val="75EF084A"/>
    <w:rsid w:val="75EF43A6"/>
    <w:rsid w:val="75F23E97"/>
    <w:rsid w:val="76067DC4"/>
    <w:rsid w:val="762E313E"/>
    <w:rsid w:val="764364A0"/>
    <w:rsid w:val="764D2612"/>
    <w:rsid w:val="764D761B"/>
    <w:rsid w:val="76530DD9"/>
    <w:rsid w:val="765F3ECA"/>
    <w:rsid w:val="76607052"/>
    <w:rsid w:val="766A1C7F"/>
    <w:rsid w:val="76857CCE"/>
    <w:rsid w:val="768633DE"/>
    <w:rsid w:val="76961042"/>
    <w:rsid w:val="769B62DC"/>
    <w:rsid w:val="769F6151"/>
    <w:rsid w:val="76B971CA"/>
    <w:rsid w:val="76CA6BD0"/>
    <w:rsid w:val="76EB2186"/>
    <w:rsid w:val="76FD4194"/>
    <w:rsid w:val="77040325"/>
    <w:rsid w:val="770B2089"/>
    <w:rsid w:val="771D74A1"/>
    <w:rsid w:val="77251138"/>
    <w:rsid w:val="77495D38"/>
    <w:rsid w:val="775E7E11"/>
    <w:rsid w:val="777D59E2"/>
    <w:rsid w:val="778C3629"/>
    <w:rsid w:val="778C3E77"/>
    <w:rsid w:val="77A613DD"/>
    <w:rsid w:val="77AF64E3"/>
    <w:rsid w:val="77C655DB"/>
    <w:rsid w:val="77DB490C"/>
    <w:rsid w:val="77E45A61"/>
    <w:rsid w:val="781A76D5"/>
    <w:rsid w:val="781C51FB"/>
    <w:rsid w:val="78236589"/>
    <w:rsid w:val="78283BA0"/>
    <w:rsid w:val="784D6AE3"/>
    <w:rsid w:val="78544995"/>
    <w:rsid w:val="78576A73"/>
    <w:rsid w:val="785E1CB7"/>
    <w:rsid w:val="785E75C1"/>
    <w:rsid w:val="787B0173"/>
    <w:rsid w:val="78B43685"/>
    <w:rsid w:val="78EB5A34"/>
    <w:rsid w:val="78FB7506"/>
    <w:rsid w:val="79004A77"/>
    <w:rsid w:val="79051DAF"/>
    <w:rsid w:val="7907243C"/>
    <w:rsid w:val="79314CD6"/>
    <w:rsid w:val="793A1DDD"/>
    <w:rsid w:val="79510481"/>
    <w:rsid w:val="79652BD2"/>
    <w:rsid w:val="79974728"/>
    <w:rsid w:val="799C4845"/>
    <w:rsid w:val="799D35DD"/>
    <w:rsid w:val="79AFA91B"/>
    <w:rsid w:val="79B5378E"/>
    <w:rsid w:val="79C124FE"/>
    <w:rsid w:val="79C913B2"/>
    <w:rsid w:val="79D21EC7"/>
    <w:rsid w:val="79DE4E5E"/>
    <w:rsid w:val="79ED8F1F"/>
    <w:rsid w:val="79F44681"/>
    <w:rsid w:val="79FF1E35"/>
    <w:rsid w:val="7A04063C"/>
    <w:rsid w:val="7A3B4138"/>
    <w:rsid w:val="7A5E391A"/>
    <w:rsid w:val="7A637111"/>
    <w:rsid w:val="7A733033"/>
    <w:rsid w:val="7AA10854"/>
    <w:rsid w:val="7AAA4D40"/>
    <w:rsid w:val="7ADE0E8D"/>
    <w:rsid w:val="7AF6200C"/>
    <w:rsid w:val="7AFE32DE"/>
    <w:rsid w:val="7B233BCC"/>
    <w:rsid w:val="7B851426"/>
    <w:rsid w:val="7BB340C8"/>
    <w:rsid w:val="7BB66BEE"/>
    <w:rsid w:val="7BF070CA"/>
    <w:rsid w:val="7BF344C5"/>
    <w:rsid w:val="7C1A5EF5"/>
    <w:rsid w:val="7C354ADD"/>
    <w:rsid w:val="7C3C2310"/>
    <w:rsid w:val="7C4F3604"/>
    <w:rsid w:val="7C570EF7"/>
    <w:rsid w:val="7C6924CA"/>
    <w:rsid w:val="7C89357E"/>
    <w:rsid w:val="7C9B7036"/>
    <w:rsid w:val="7CA0464C"/>
    <w:rsid w:val="7CA26617"/>
    <w:rsid w:val="7CAF663E"/>
    <w:rsid w:val="7CDD764F"/>
    <w:rsid w:val="7CE309DD"/>
    <w:rsid w:val="7D16490F"/>
    <w:rsid w:val="7D3235CE"/>
    <w:rsid w:val="7D382AD7"/>
    <w:rsid w:val="7D4556A3"/>
    <w:rsid w:val="7D5611AF"/>
    <w:rsid w:val="7D637428"/>
    <w:rsid w:val="7D6D4EFF"/>
    <w:rsid w:val="7D6E109F"/>
    <w:rsid w:val="7D7F5DC9"/>
    <w:rsid w:val="7D8950E1"/>
    <w:rsid w:val="7D913F95"/>
    <w:rsid w:val="7DC15333"/>
    <w:rsid w:val="7DEC38C1"/>
    <w:rsid w:val="7DF52776"/>
    <w:rsid w:val="7E1A62EA"/>
    <w:rsid w:val="7E2117BD"/>
    <w:rsid w:val="7E265025"/>
    <w:rsid w:val="7E2F76A5"/>
    <w:rsid w:val="7E3BF28E"/>
    <w:rsid w:val="7E475922"/>
    <w:rsid w:val="7E5929DE"/>
    <w:rsid w:val="7E5E47BF"/>
    <w:rsid w:val="7E63023A"/>
    <w:rsid w:val="7E70004F"/>
    <w:rsid w:val="7E7C2E97"/>
    <w:rsid w:val="7E837D82"/>
    <w:rsid w:val="7E8F2BCB"/>
    <w:rsid w:val="7EB62DC5"/>
    <w:rsid w:val="7EB77AFD"/>
    <w:rsid w:val="7ED61D2C"/>
    <w:rsid w:val="7F0E0E8B"/>
    <w:rsid w:val="7F370B6C"/>
    <w:rsid w:val="7F402117"/>
    <w:rsid w:val="7F4D08FB"/>
    <w:rsid w:val="7F4D1C2F"/>
    <w:rsid w:val="7F590AE3"/>
    <w:rsid w:val="7F681CED"/>
    <w:rsid w:val="7F6F3711"/>
    <w:rsid w:val="7F715CB0"/>
    <w:rsid w:val="7F867583"/>
    <w:rsid w:val="7F8F6BFA"/>
    <w:rsid w:val="7F93C767"/>
    <w:rsid w:val="7F9A0238"/>
    <w:rsid w:val="7FBB02A2"/>
    <w:rsid w:val="7FC468A4"/>
    <w:rsid w:val="7FC61763"/>
    <w:rsid w:val="7FC9D6A9"/>
    <w:rsid w:val="7FD9973A"/>
    <w:rsid w:val="7FDB599C"/>
    <w:rsid w:val="7FDE1454"/>
    <w:rsid w:val="7FF91785"/>
    <w:rsid w:val="7FFB85BD"/>
    <w:rsid w:val="9BEDE31D"/>
    <w:rsid w:val="9DD69C26"/>
    <w:rsid w:val="9DEB3D03"/>
    <w:rsid w:val="AF7F1135"/>
    <w:rsid w:val="AFFE9A6D"/>
    <w:rsid w:val="B79DF74C"/>
    <w:rsid w:val="BCFF88D6"/>
    <w:rsid w:val="BE5F87FF"/>
    <w:rsid w:val="BEFC1852"/>
    <w:rsid w:val="BF75E3AD"/>
    <w:rsid w:val="C3BD466D"/>
    <w:rsid w:val="CEF3B753"/>
    <w:rsid w:val="CF5F80B0"/>
    <w:rsid w:val="CFB7A5D7"/>
    <w:rsid w:val="D7DDF0FA"/>
    <w:rsid w:val="D95EBE45"/>
    <w:rsid w:val="DACE463B"/>
    <w:rsid w:val="DBF5F2C6"/>
    <w:rsid w:val="E6FD246D"/>
    <w:rsid w:val="EB776BE6"/>
    <w:rsid w:val="EDFA37A0"/>
    <w:rsid w:val="EDFB2031"/>
    <w:rsid w:val="EE0F2781"/>
    <w:rsid w:val="EE7FAC4F"/>
    <w:rsid w:val="F79BD3DA"/>
    <w:rsid w:val="F7BFD0FA"/>
    <w:rsid w:val="F7FEA42C"/>
    <w:rsid w:val="F93DD9D2"/>
    <w:rsid w:val="F96F62FC"/>
    <w:rsid w:val="F99BB868"/>
    <w:rsid w:val="FB6E8AC1"/>
    <w:rsid w:val="FBCF01BC"/>
    <w:rsid w:val="FBF72D50"/>
    <w:rsid w:val="FD7F701D"/>
    <w:rsid w:val="FDDF9AF2"/>
    <w:rsid w:val="FDFB698D"/>
    <w:rsid w:val="FDFFDD31"/>
    <w:rsid w:val="FE7FE510"/>
    <w:rsid w:val="FEABF619"/>
    <w:rsid w:val="FEF6524C"/>
    <w:rsid w:val="FF39DCAC"/>
    <w:rsid w:val="FF3FD196"/>
    <w:rsid w:val="FFCB43E1"/>
    <w:rsid w:val="FFD7F2A4"/>
    <w:rsid w:val="FFDF8568"/>
    <w:rsid w:val="FFDF8B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unhideWhenUsed/>
    <w:qFormat/>
    <w:uiPriority w:val="99"/>
    <w:pPr>
      <w:spacing w:after="120"/>
    </w:pPr>
  </w:style>
  <w:style w:type="paragraph" w:styleId="6">
    <w:name w:val="annotation text"/>
    <w:basedOn w:val="1"/>
    <w:link w:val="61"/>
    <w:unhideWhenUsed/>
    <w:qFormat/>
    <w:uiPriority w:val="0"/>
    <w:pPr>
      <w:jc w:val="left"/>
    </w:pPr>
  </w:style>
  <w:style w:type="paragraph" w:styleId="7">
    <w:name w:val="toc 3"/>
    <w:basedOn w:val="1"/>
    <w:next w:val="1"/>
    <w:autoRedefine/>
    <w:qFormat/>
    <w:uiPriority w:val="39"/>
    <w:pPr>
      <w:ind w:left="840" w:leftChars="400"/>
    </w:pPr>
  </w:style>
  <w:style w:type="paragraph" w:styleId="8">
    <w:name w:val="Balloon Text"/>
    <w:basedOn w:val="1"/>
    <w:link w:val="59"/>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link w:val="51"/>
    <w:autoRedefine/>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autoRedefine/>
    <w:qFormat/>
    <w:uiPriority w:val="39"/>
  </w:style>
  <w:style w:type="paragraph" w:styleId="12">
    <w:name w:val="toc 2"/>
    <w:basedOn w:val="1"/>
    <w:next w:val="1"/>
    <w:autoRedefine/>
    <w:qFormat/>
    <w:uiPriority w:val="39"/>
    <w:pPr>
      <w:ind w:left="420" w:leftChars="200"/>
    </w:pPr>
  </w:style>
  <w:style w:type="paragraph" w:styleId="13">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6"/>
    <w:next w:val="6"/>
    <w:link w:val="62"/>
    <w:autoRedefine/>
    <w:semiHidden/>
    <w:unhideWhenUsed/>
    <w:qFormat/>
    <w:uiPriority w:val="0"/>
    <w:rPr>
      <w:b/>
      <w:bCs/>
    </w:rPr>
  </w:style>
  <w:style w:type="paragraph" w:styleId="15">
    <w:name w:val="Body Text First Indent"/>
    <w:basedOn w:val="2"/>
    <w:unhideWhenUsed/>
    <w:qFormat/>
    <w:uiPriority w:val="99"/>
    <w:pPr>
      <w:ind w:firstLine="420" w:firstLineChars="100"/>
    </w:p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22"/>
    <w:rPr>
      <w:b/>
    </w:rPr>
  </w:style>
  <w:style w:type="character" w:styleId="20">
    <w:name w:val="page number"/>
    <w:basedOn w:val="18"/>
    <w:autoRedefine/>
    <w:qFormat/>
    <w:uiPriority w:val="0"/>
  </w:style>
  <w:style w:type="character" w:styleId="21">
    <w:name w:val="FollowedHyperlink"/>
    <w:autoRedefine/>
    <w:qFormat/>
    <w:uiPriority w:val="0"/>
    <w:rPr>
      <w:color w:val="333333"/>
      <w:u w:val="none"/>
    </w:rPr>
  </w:style>
  <w:style w:type="character" w:styleId="22">
    <w:name w:val="HTML Definition"/>
    <w:autoRedefine/>
    <w:qFormat/>
    <w:uiPriority w:val="0"/>
    <w:rPr>
      <w:b/>
      <w:i/>
      <w:color w:val="FFFFFF"/>
      <w:sz w:val="18"/>
      <w:szCs w:val="18"/>
      <w:vertAlign w:val="baseline"/>
    </w:rPr>
  </w:style>
  <w:style w:type="character" w:styleId="23">
    <w:name w:val="Hyperlink"/>
    <w:autoRedefine/>
    <w:qFormat/>
    <w:uiPriority w:val="99"/>
    <w:rPr>
      <w:color w:val="333333"/>
      <w:u w:val="none"/>
    </w:rPr>
  </w:style>
  <w:style w:type="character" w:styleId="24">
    <w:name w:val="HTML Code"/>
    <w:autoRedefine/>
    <w:qFormat/>
    <w:uiPriority w:val="0"/>
    <w:rPr>
      <w:rFonts w:ascii="Menlo" w:hAnsi="Menlo" w:eastAsia="Menlo" w:cs="Menlo"/>
      <w:color w:val="C7254E"/>
      <w:sz w:val="21"/>
      <w:szCs w:val="21"/>
      <w:shd w:val="clear" w:color="auto" w:fill="F9F2F4"/>
    </w:rPr>
  </w:style>
  <w:style w:type="character" w:styleId="25">
    <w:name w:val="annotation reference"/>
    <w:basedOn w:val="18"/>
    <w:autoRedefine/>
    <w:semiHidden/>
    <w:unhideWhenUsed/>
    <w:qFormat/>
    <w:uiPriority w:val="0"/>
    <w:rPr>
      <w:sz w:val="21"/>
      <w:szCs w:val="21"/>
    </w:rPr>
  </w:style>
  <w:style w:type="character" w:styleId="26">
    <w:name w:val="HTML Keyboard"/>
    <w:autoRedefine/>
    <w:qFormat/>
    <w:uiPriority w:val="0"/>
    <w:rPr>
      <w:rFonts w:hint="default" w:ascii="Menlo" w:hAnsi="Menlo" w:eastAsia="Menlo" w:cs="Menlo"/>
      <w:color w:val="FFFFFF"/>
      <w:sz w:val="21"/>
      <w:szCs w:val="21"/>
      <w:shd w:val="clear" w:color="auto" w:fill="333333"/>
    </w:rPr>
  </w:style>
  <w:style w:type="character" w:styleId="27">
    <w:name w:val="HTML Sample"/>
    <w:autoRedefine/>
    <w:qFormat/>
    <w:uiPriority w:val="0"/>
    <w:rPr>
      <w:rFonts w:hint="default" w:ascii="Menlo" w:hAnsi="Menlo" w:eastAsia="Menlo" w:cs="Menlo"/>
      <w:sz w:val="21"/>
      <w:szCs w:val="21"/>
    </w:rPr>
  </w:style>
  <w:style w:type="character" w:customStyle="1" w:styleId="28">
    <w:name w:val="column-name1"/>
    <w:autoRedefine/>
    <w:qFormat/>
    <w:uiPriority w:val="0"/>
    <w:rPr>
      <w:color w:val="124D83"/>
    </w:rPr>
  </w:style>
  <w:style w:type="character" w:customStyle="1" w:styleId="29">
    <w:name w:val="item-name4"/>
    <w:basedOn w:val="18"/>
    <w:autoRedefine/>
    <w:qFormat/>
    <w:uiPriority w:val="0"/>
  </w:style>
  <w:style w:type="character" w:customStyle="1" w:styleId="30">
    <w:name w:val="column-name3"/>
    <w:autoRedefine/>
    <w:qFormat/>
    <w:uiPriority w:val="0"/>
    <w:rPr>
      <w:color w:val="124D83"/>
    </w:rPr>
  </w:style>
  <w:style w:type="character" w:customStyle="1" w:styleId="31">
    <w:name w:val="jedateymchok"/>
    <w:autoRedefine/>
    <w:qFormat/>
    <w:uiPriority w:val="0"/>
    <w:rPr>
      <w:color w:val="FFFFFF"/>
      <w:sz w:val="18"/>
      <w:szCs w:val="18"/>
      <w:shd w:val="clear" w:color="auto" w:fill="00A1CB"/>
    </w:rPr>
  </w:style>
  <w:style w:type="character" w:customStyle="1" w:styleId="32">
    <w:name w:val="column-name4"/>
    <w:autoRedefine/>
    <w:qFormat/>
    <w:uiPriority w:val="0"/>
    <w:rPr>
      <w:color w:val="124D83"/>
    </w:rPr>
  </w:style>
  <w:style w:type="character" w:customStyle="1" w:styleId="33">
    <w:name w:val="item-name2"/>
    <w:basedOn w:val="18"/>
    <w:autoRedefine/>
    <w:qFormat/>
    <w:uiPriority w:val="0"/>
  </w:style>
  <w:style w:type="character" w:customStyle="1" w:styleId="34">
    <w:name w:val="new"/>
    <w:autoRedefine/>
    <w:qFormat/>
    <w:uiPriority w:val="0"/>
    <w:rPr>
      <w:color w:val="999999"/>
    </w:rPr>
  </w:style>
  <w:style w:type="character" w:customStyle="1" w:styleId="35">
    <w:name w:val="news_title"/>
    <w:basedOn w:val="18"/>
    <w:autoRedefine/>
    <w:qFormat/>
    <w:uiPriority w:val="0"/>
  </w:style>
  <w:style w:type="character" w:customStyle="1" w:styleId="36">
    <w:name w:val="glyphicon-chevron-right6"/>
    <w:autoRedefine/>
    <w:qFormat/>
    <w:uiPriority w:val="0"/>
    <w:rPr>
      <w:sz w:val="18"/>
      <w:szCs w:val="18"/>
    </w:rPr>
  </w:style>
  <w:style w:type="character" w:customStyle="1" w:styleId="37">
    <w:name w:val="old"/>
    <w:autoRedefine/>
    <w:qFormat/>
    <w:uiPriority w:val="0"/>
    <w:rPr>
      <w:color w:val="999999"/>
    </w:rPr>
  </w:style>
  <w:style w:type="character" w:customStyle="1" w:styleId="38">
    <w:name w:val="column-name"/>
    <w:autoRedefine/>
    <w:qFormat/>
    <w:uiPriority w:val="0"/>
    <w:rPr>
      <w:color w:val="124D83"/>
    </w:rPr>
  </w:style>
  <w:style w:type="character" w:customStyle="1" w:styleId="39">
    <w:name w:val="column-name12"/>
    <w:autoRedefine/>
    <w:qFormat/>
    <w:uiPriority w:val="0"/>
    <w:rPr>
      <w:color w:val="124D83"/>
    </w:rPr>
  </w:style>
  <w:style w:type="character" w:customStyle="1" w:styleId="40">
    <w:name w:val="news_meta"/>
    <w:basedOn w:val="18"/>
    <w:autoRedefine/>
    <w:qFormat/>
    <w:uiPriority w:val="0"/>
  </w:style>
  <w:style w:type="character" w:customStyle="1" w:styleId="41">
    <w:name w:val="column-name2"/>
    <w:autoRedefine/>
    <w:qFormat/>
    <w:uiPriority w:val="0"/>
    <w:rPr>
      <w:color w:val="124D83"/>
    </w:rPr>
  </w:style>
  <w:style w:type="character" w:customStyle="1" w:styleId="42">
    <w:name w:val="column-name15"/>
    <w:autoRedefine/>
    <w:qFormat/>
    <w:uiPriority w:val="0"/>
    <w:rPr>
      <w:color w:val="124D83"/>
    </w:rPr>
  </w:style>
  <w:style w:type="character" w:customStyle="1" w:styleId="43">
    <w:name w:val="jedateymchri"/>
    <w:autoRedefine/>
    <w:qFormat/>
    <w:uiPriority w:val="0"/>
    <w:rPr>
      <w:color w:val="1F547E"/>
      <w:sz w:val="24"/>
      <w:szCs w:val="24"/>
      <w:shd w:val="clear" w:color="auto" w:fill="ECF4FB"/>
    </w:rPr>
  </w:style>
  <w:style w:type="character" w:customStyle="1" w:styleId="44">
    <w:name w:val="hover2"/>
    <w:autoRedefine/>
    <w:qFormat/>
    <w:uiPriority w:val="0"/>
    <w:rPr>
      <w:shd w:val="clear" w:color="auto" w:fill="EEEEEE"/>
    </w:rPr>
  </w:style>
  <w:style w:type="character" w:customStyle="1" w:styleId="45">
    <w:name w:val="column-name16"/>
    <w:autoRedefine/>
    <w:qFormat/>
    <w:uiPriority w:val="0"/>
    <w:rPr>
      <w:color w:val="124D83"/>
    </w:rPr>
  </w:style>
  <w:style w:type="character" w:customStyle="1" w:styleId="46">
    <w:name w:val="item-name"/>
    <w:basedOn w:val="18"/>
    <w:autoRedefine/>
    <w:qFormat/>
    <w:uiPriority w:val="0"/>
  </w:style>
  <w:style w:type="character" w:customStyle="1" w:styleId="47">
    <w:name w:val="column-name14"/>
    <w:autoRedefine/>
    <w:qFormat/>
    <w:uiPriority w:val="0"/>
    <w:rPr>
      <w:color w:val="124D83"/>
    </w:rPr>
  </w:style>
  <w:style w:type="character" w:customStyle="1" w:styleId="48">
    <w:name w:val="column-name13"/>
    <w:autoRedefine/>
    <w:qFormat/>
    <w:uiPriority w:val="0"/>
    <w:rPr>
      <w:color w:val="124D83"/>
    </w:rPr>
  </w:style>
  <w:style w:type="character" w:customStyle="1" w:styleId="49">
    <w:name w:val="item-name3"/>
    <w:basedOn w:val="18"/>
    <w:autoRedefine/>
    <w:qFormat/>
    <w:uiPriority w:val="0"/>
  </w:style>
  <w:style w:type="character" w:customStyle="1" w:styleId="50">
    <w:name w:val="item-name1"/>
    <w:basedOn w:val="18"/>
    <w:autoRedefine/>
    <w:qFormat/>
    <w:uiPriority w:val="0"/>
  </w:style>
  <w:style w:type="character" w:customStyle="1" w:styleId="51">
    <w:name w:val="页眉 字符"/>
    <w:link w:val="10"/>
    <w:autoRedefine/>
    <w:qFormat/>
    <w:uiPriority w:val="0"/>
    <w:rPr>
      <w:rFonts w:ascii="Calibri" w:hAnsi="Calibri"/>
      <w:kern w:val="2"/>
      <w:sz w:val="18"/>
      <w:szCs w:val="18"/>
    </w:rPr>
  </w:style>
  <w:style w:type="character" w:customStyle="1" w:styleId="52">
    <w:name w:val="jedateymchle"/>
    <w:autoRedefine/>
    <w:qFormat/>
    <w:uiPriority w:val="0"/>
    <w:rPr>
      <w:color w:val="1F547E"/>
      <w:sz w:val="24"/>
      <w:szCs w:val="24"/>
      <w:shd w:val="clear" w:color="auto" w:fill="ECF4FB"/>
    </w:rPr>
  </w:style>
  <w:style w:type="paragraph" w:customStyle="1" w:styleId="53">
    <w:name w:val="WPSOffice手动目录 1"/>
    <w:autoRedefine/>
    <w:qFormat/>
    <w:uiPriority w:val="0"/>
    <w:rPr>
      <w:rFonts w:ascii="Times New Roman" w:hAnsi="Times New Roman" w:eastAsia="宋体" w:cs="Times New Roman"/>
      <w:lang w:val="en-US" w:eastAsia="zh-CN" w:bidi="ar-SA"/>
    </w:rPr>
  </w:style>
  <w:style w:type="paragraph" w:customStyle="1" w:styleId="54">
    <w:name w:val="_Style 1"/>
    <w:basedOn w:val="1"/>
    <w:autoRedefine/>
    <w:qFormat/>
    <w:uiPriority w:val="34"/>
    <w:pPr>
      <w:ind w:firstLine="420" w:firstLineChars="200"/>
    </w:pPr>
    <w:rPr>
      <w:rFonts w:ascii="Calibri" w:hAnsi="Calibri"/>
    </w:rPr>
  </w:style>
  <w:style w:type="paragraph" w:customStyle="1" w:styleId="5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56">
    <w:name w:val="TOC 标题1"/>
    <w:basedOn w:val="3"/>
    <w:next w:val="1"/>
    <w:autoRedefine/>
    <w:qFormat/>
    <w:uiPriority w:val="39"/>
    <w:pPr>
      <w:widowControl/>
      <w:spacing w:before="480" w:after="0" w:line="276" w:lineRule="auto"/>
      <w:jc w:val="left"/>
      <w:outlineLvl w:val="9"/>
    </w:pPr>
    <w:rPr>
      <w:rFonts w:ascii="Cambria" w:hAnsi="Cambria"/>
      <w:bCs/>
      <w:color w:val="365F91"/>
      <w:kern w:val="0"/>
      <w:sz w:val="28"/>
      <w:szCs w:val="28"/>
    </w:rPr>
  </w:style>
  <w:style w:type="paragraph" w:styleId="57">
    <w:name w:val="List Paragraph"/>
    <w:basedOn w:val="1"/>
    <w:autoRedefine/>
    <w:qFormat/>
    <w:uiPriority w:val="34"/>
    <w:pPr>
      <w:ind w:firstLine="420" w:firstLineChars="200"/>
    </w:pPr>
    <w:rPr>
      <w:rFonts w:ascii="Calibri" w:hAnsi="Calibri"/>
    </w:rPr>
  </w:style>
  <w:style w:type="paragraph" w:customStyle="1" w:styleId="58">
    <w:name w:val="WPSOffice手动目录 3"/>
    <w:autoRedefine/>
    <w:qFormat/>
    <w:uiPriority w:val="0"/>
    <w:pPr>
      <w:ind w:left="400" w:leftChars="400"/>
    </w:pPr>
    <w:rPr>
      <w:rFonts w:ascii="Times New Roman" w:hAnsi="Times New Roman" w:eastAsia="宋体" w:cs="Times New Roman"/>
      <w:lang w:val="en-US" w:eastAsia="zh-CN" w:bidi="ar-SA"/>
    </w:rPr>
  </w:style>
  <w:style w:type="character" w:customStyle="1" w:styleId="59">
    <w:name w:val="批注框文本 字符"/>
    <w:basedOn w:val="18"/>
    <w:link w:val="8"/>
    <w:autoRedefine/>
    <w:qFormat/>
    <w:uiPriority w:val="0"/>
    <w:rPr>
      <w:kern w:val="2"/>
      <w:sz w:val="18"/>
      <w:szCs w:val="18"/>
    </w:rPr>
  </w:style>
  <w:style w:type="paragraph" w:customStyle="1" w:styleId="60">
    <w:name w:val="修订1"/>
    <w:autoRedefine/>
    <w:hidden/>
    <w:semiHidden/>
    <w:qFormat/>
    <w:uiPriority w:val="99"/>
    <w:rPr>
      <w:rFonts w:ascii="Times New Roman" w:hAnsi="Times New Roman" w:eastAsia="宋体" w:cs="Times New Roman"/>
      <w:kern w:val="2"/>
      <w:sz w:val="21"/>
      <w:szCs w:val="22"/>
      <w:lang w:val="en-US" w:eastAsia="zh-CN" w:bidi="ar-SA"/>
    </w:rPr>
  </w:style>
  <w:style w:type="character" w:customStyle="1" w:styleId="61">
    <w:name w:val="批注文字 字符"/>
    <w:basedOn w:val="18"/>
    <w:link w:val="6"/>
    <w:autoRedefine/>
    <w:qFormat/>
    <w:uiPriority w:val="0"/>
    <w:rPr>
      <w:kern w:val="2"/>
      <w:sz w:val="21"/>
      <w:szCs w:val="22"/>
    </w:rPr>
  </w:style>
  <w:style w:type="character" w:customStyle="1" w:styleId="62">
    <w:name w:val="批注主题 字符"/>
    <w:basedOn w:val="61"/>
    <w:link w:val="14"/>
    <w:autoRedefine/>
    <w:semiHidden/>
    <w:qFormat/>
    <w:uiPriority w:val="0"/>
    <w:rPr>
      <w:b/>
      <w:bCs/>
      <w:kern w:val="2"/>
      <w:sz w:val="21"/>
      <w:szCs w:val="22"/>
    </w:rPr>
  </w:style>
  <w:style w:type="paragraph" w:customStyle="1" w:styleId="63">
    <w:name w:val="Revision"/>
    <w:autoRedefine/>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2B354-4EFB-4572-8F9A-3934E4C2AEB4}">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25</Pages>
  <Words>19795</Words>
  <Characters>20671</Characters>
  <Lines>166</Lines>
  <Paragraphs>46</Paragraphs>
  <TotalTime>111</TotalTime>
  <ScaleCrop>false</ScaleCrop>
  <LinksUpToDate>false</LinksUpToDate>
  <CharactersWithSpaces>21101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2020-12-01T12:39:00Z</dcterms:created>
  <dc:creator>User</dc:creator>
  <cp:lastModifiedBy>王晓虎</cp:lastModifiedBy>
  <cp:lastPrinted>2022-11-22T05:12:00Z</cp:lastPrinted>
  <dcterms:modified xsi:type="dcterms:W3CDTF">2024-03-14T00:38:25Z</dcterms:modified>
  <dc:title>长春理工大学光电信息学院</dc:title>
  <cp:revision>461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3894330FA1DE4AB2A807B9789A112512_13</vt:lpwstr>
  </property>
</Properties>
</file>